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E49C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0196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4746FA2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08F6AC7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422677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56CAA50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3729084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C2F81BB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590B90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1C17101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BD043CD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3FC5F154" w14:textId="77777777" w:rsidR="00C07DC9" w:rsidRDefault="00C07DC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“</w:t>
      </w:r>
    </w:p>
    <w:p w14:paraId="27C805E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3F970EF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2126CFDC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900FD7E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16CD48C0" w14:textId="77777777" w:rsidR="009E647F" w:rsidRDefault="009E647F" w:rsidP="009E647F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семінарських </w:t>
      </w:r>
      <w:r w:rsidRPr="006D68CB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занять </w:t>
      </w:r>
      <w:r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з дисципліни </w:t>
      </w:r>
      <w:r>
        <w:rPr>
          <w:rFonts w:eastAsia="Times New Roman"/>
          <w:b/>
          <w:color w:val="auto"/>
          <w:sz w:val="28"/>
          <w:szCs w:val="24"/>
          <w:lang w:val="hu-HU" w:eastAsia="ru-RU"/>
        </w:rPr>
        <w:t xml:space="preserve">/ </w:t>
      </w:r>
    </w:p>
    <w:p w14:paraId="1BF42196" w14:textId="5C6CABA4" w:rsidR="00C07DC9" w:rsidRDefault="009E647F" w:rsidP="009E647F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Módszertani útmutató a szemináriumi munkához</w:t>
      </w:r>
    </w:p>
    <w:p w14:paraId="7FB947B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345B77CC" w14:textId="77777777" w:rsidR="008709B3" w:rsidRPr="008F7FA6" w:rsidRDefault="00C07DC9" w:rsidP="008709B3">
      <w:pPr>
        <w:jc w:val="center"/>
        <w:rPr>
          <w:lang w:val="hu-HU"/>
        </w:rPr>
      </w:pPr>
      <w:r>
        <w:rPr>
          <w:rFonts w:eastAsia="Times New Roman"/>
          <w:color w:val="auto"/>
          <w:sz w:val="28"/>
          <w:szCs w:val="24"/>
          <w:lang w:val="uk-UA" w:eastAsia="ru-RU"/>
        </w:rPr>
        <w:t xml:space="preserve"> </w:t>
      </w:r>
      <w:r w:rsidR="008709B3" w:rsidRPr="00CB63A8">
        <w:rPr>
          <w:b/>
          <w:sz w:val="28"/>
          <w:szCs w:val="28"/>
        </w:rPr>
        <w:t>Міжкультурна комунікація</w:t>
      </w:r>
      <w:r w:rsidR="008709B3" w:rsidRPr="00B21EE3">
        <w:rPr>
          <w:b/>
          <w:sz w:val="28"/>
          <w:szCs w:val="28"/>
        </w:rPr>
        <w:t xml:space="preserve"> </w:t>
      </w:r>
      <w:r w:rsidR="008709B3">
        <w:rPr>
          <w:b/>
          <w:bCs/>
          <w:sz w:val="28"/>
          <w:szCs w:val="28"/>
          <w:lang w:val="hu-HU"/>
        </w:rPr>
        <w:t>/</w:t>
      </w:r>
      <w:r w:rsidR="008709B3">
        <w:rPr>
          <w:b/>
          <w:bCs/>
          <w:sz w:val="28"/>
          <w:szCs w:val="28"/>
        </w:rPr>
        <w:t xml:space="preserve"> </w:t>
      </w:r>
      <w:r w:rsidR="008709B3">
        <w:rPr>
          <w:b/>
          <w:szCs w:val="28"/>
          <w:lang w:val="hu-HU"/>
        </w:rPr>
        <w:t>Kultúraközi kommunikáció</w:t>
      </w:r>
    </w:p>
    <w:p w14:paraId="340F9CAF" w14:textId="77777777" w:rsidR="008709B3" w:rsidRDefault="008709B3" w:rsidP="008709B3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55FAC72B" w14:textId="77777777" w:rsidR="008709B3" w:rsidRDefault="008709B3" w:rsidP="008709B3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10B799CC" w14:textId="77777777" w:rsidR="008709B3" w:rsidRPr="00A7443A" w:rsidRDefault="008709B3" w:rsidP="008709B3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6E93E8BE" w14:textId="77777777" w:rsidR="008709B3" w:rsidRPr="00A7443A" w:rsidRDefault="008709B3" w:rsidP="008709B3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3B54C5B9" w14:textId="77777777" w:rsidR="008709B3" w:rsidRPr="00A7443A" w:rsidRDefault="008709B3" w:rsidP="008709B3">
      <w:pPr>
        <w:tabs>
          <w:tab w:val="left" w:pos="7371"/>
        </w:tabs>
        <w:jc w:val="both"/>
        <w:rPr>
          <w:b/>
          <w:szCs w:val="28"/>
          <w:lang w:val="hu-HU" w:eastAsia="uk-UA"/>
        </w:rPr>
      </w:pPr>
    </w:p>
    <w:p w14:paraId="3E32180F" w14:textId="77777777" w:rsidR="008709B3" w:rsidRDefault="008709B3" w:rsidP="008709B3">
      <w:pPr>
        <w:ind w:left="709"/>
        <w:rPr>
          <w:lang w:val="hu-HU"/>
        </w:rPr>
      </w:pPr>
    </w:p>
    <w:p w14:paraId="22D1C6BA" w14:textId="77777777" w:rsidR="008709B3" w:rsidRPr="00465A2F" w:rsidRDefault="008709B3" w:rsidP="008709B3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16BDF575" w14:textId="77777777" w:rsidR="008709B3" w:rsidRP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hu-HU" w:eastAsia="ru-RU"/>
        </w:rPr>
      </w:pPr>
    </w:p>
    <w:p w14:paraId="107E5329" w14:textId="77777777" w:rsid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59491493" w14:textId="77777777" w:rsid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63A72C95" w14:textId="77777777" w:rsidR="008709B3" w:rsidRDefault="008709B3" w:rsidP="008709B3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1F664086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2"/>
          <w:lang w:val="uk-UA" w:eastAsia="ru-RU"/>
        </w:rPr>
      </w:pPr>
    </w:p>
    <w:p w14:paraId="3ADA19AF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C181A7A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3BC943C" w14:textId="77777777" w:rsidR="008709B3" w:rsidRDefault="008709B3" w:rsidP="008709B3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148F9A71" w14:textId="77777777" w:rsidR="008709B3" w:rsidRDefault="008709B3" w:rsidP="008709B3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64248FF4" w14:textId="77777777" w:rsidR="008709B3" w:rsidRDefault="008709B3" w:rsidP="008709B3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69B3789A" w14:textId="77777777" w:rsidR="008709B3" w:rsidRDefault="008709B3" w:rsidP="008709B3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25269A8B" w14:textId="77777777" w:rsidR="008709B3" w:rsidRDefault="008709B3" w:rsidP="008709B3">
      <w:pPr>
        <w:rPr>
          <w:lang w:val="hu-HU"/>
        </w:rPr>
      </w:pPr>
    </w:p>
    <w:p w14:paraId="55037DDE" w14:textId="77777777" w:rsidR="008709B3" w:rsidRDefault="008709B3" w:rsidP="008709B3">
      <w:pPr>
        <w:rPr>
          <w:lang w:val="hu-HU"/>
        </w:rPr>
      </w:pPr>
    </w:p>
    <w:p w14:paraId="6AB0A8B1" w14:textId="77777777" w:rsidR="008709B3" w:rsidRDefault="008709B3" w:rsidP="008709B3">
      <w:pPr>
        <w:jc w:val="center"/>
        <w:rPr>
          <w:lang w:val="hu-HU"/>
        </w:rPr>
      </w:pPr>
    </w:p>
    <w:p w14:paraId="02009068" w14:textId="77777777" w:rsidR="008709B3" w:rsidRDefault="008709B3" w:rsidP="008709B3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2022</w:t>
      </w:r>
    </w:p>
    <w:p w14:paraId="5D901663" w14:textId="77777777" w:rsidR="008709B3" w:rsidRPr="0096527D" w:rsidRDefault="008F0856" w:rsidP="008709B3">
      <w:pPr>
        <w:ind w:firstLine="426"/>
        <w:jc w:val="both"/>
        <w:rPr>
          <w:lang w:val="uk-UA"/>
        </w:rPr>
      </w:pPr>
      <w:r w:rsidRPr="00613E90">
        <w:rPr>
          <w:b/>
          <w:szCs w:val="24"/>
          <w:lang w:val="uk-UA"/>
        </w:rPr>
        <w:br w:type="page"/>
      </w:r>
      <w:r w:rsidR="008709B3" w:rsidRPr="0096527D">
        <w:rPr>
          <w:b/>
          <w:bCs/>
          <w:i/>
          <w:iCs/>
          <w:lang w:val="uk-UA"/>
        </w:rPr>
        <w:lastRenderedPageBreak/>
        <w:t>Мета курсу</w:t>
      </w:r>
      <w:r w:rsidR="008709B3" w:rsidRPr="0096527D">
        <w:rPr>
          <w:lang w:val="uk-UA"/>
        </w:rPr>
        <w:t xml:space="preserve"> – дати базове уявлення про мовні та культурні подібності та відмінності між народами, а отже, розвивати культурні знання студентів та покращувати їхню культурну обізнаність.</w:t>
      </w:r>
    </w:p>
    <w:p w14:paraId="7BB7BDFC" w14:textId="77777777" w:rsidR="008709B3" w:rsidRPr="0096527D" w:rsidRDefault="008709B3" w:rsidP="008709B3">
      <w:pPr>
        <w:ind w:firstLine="426"/>
        <w:jc w:val="both"/>
        <w:rPr>
          <w:lang w:val="uk-UA"/>
        </w:rPr>
      </w:pPr>
      <w:r w:rsidRPr="0096527D">
        <w:rPr>
          <w:lang w:val="uk-UA"/>
        </w:rPr>
        <w:t>Курс спробує дати основні вказівки щодо вирішення ситуацій, щоб уникнути можливого непорозуміння та зіткнень між різними культурними групами, спричинених хибним сприйняттям та/або культурними обмеженнями. Наголос робиться на культурній уважності та повазі.</w:t>
      </w:r>
    </w:p>
    <w:p w14:paraId="53006D93" w14:textId="77777777" w:rsidR="008709B3" w:rsidRPr="0096527D" w:rsidRDefault="008709B3" w:rsidP="008709B3">
      <w:pPr>
        <w:jc w:val="both"/>
        <w:rPr>
          <w:b/>
          <w:sz w:val="22"/>
          <w:lang w:val="uk-UA"/>
        </w:rPr>
      </w:pPr>
      <w:r w:rsidRPr="0096527D">
        <w:rPr>
          <w:lang w:val="uk-UA"/>
        </w:rPr>
        <w:t>Оскільки мова йде про студентів спеціальності «Філологія» (Англійська мова та література), особливу увагу буде приділено англомовним країнам</w:t>
      </w:r>
    </w:p>
    <w:p w14:paraId="52787226" w14:textId="77777777" w:rsidR="008709B3" w:rsidRPr="0096527D" w:rsidRDefault="008709B3" w:rsidP="008709B3">
      <w:pPr>
        <w:tabs>
          <w:tab w:val="left" w:pos="709"/>
        </w:tabs>
        <w:ind w:firstLine="284"/>
        <w:jc w:val="both"/>
        <w:rPr>
          <w:lang w:val="uk-UA"/>
        </w:rPr>
      </w:pPr>
    </w:p>
    <w:p w14:paraId="71BFFC29" w14:textId="77777777" w:rsidR="008709B3" w:rsidRPr="0096527D" w:rsidRDefault="008709B3" w:rsidP="008709B3">
      <w:pPr>
        <w:tabs>
          <w:tab w:val="left" w:pos="709"/>
        </w:tabs>
        <w:ind w:firstLine="284"/>
        <w:jc w:val="both"/>
        <w:rPr>
          <w:lang w:val="uk-UA"/>
        </w:rPr>
      </w:pPr>
      <w:r w:rsidRPr="0096527D">
        <w:rPr>
          <w:lang w:val="uk-UA"/>
        </w:rPr>
        <w:t xml:space="preserve">У результаті вивчення навчальної дисципліни студент повинен </w:t>
      </w:r>
      <w:r w:rsidRPr="0096527D">
        <w:rPr>
          <w:b/>
          <w:bCs/>
          <w:i/>
          <w:iCs/>
          <w:lang w:val="uk-UA"/>
        </w:rPr>
        <w:t>знати:</w:t>
      </w:r>
    </w:p>
    <w:p w14:paraId="6D39A15C" w14:textId="77777777" w:rsidR="008709B3" w:rsidRPr="0096527D" w:rsidRDefault="008709B3" w:rsidP="008709B3">
      <w:pPr>
        <w:tabs>
          <w:tab w:val="num" w:pos="180"/>
          <w:tab w:val="left" w:pos="709"/>
        </w:tabs>
        <w:ind w:firstLine="284"/>
        <w:jc w:val="both"/>
        <w:rPr>
          <w:lang w:val="hu-HU"/>
        </w:rPr>
      </w:pPr>
    </w:p>
    <w:p w14:paraId="56F038FC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предмет, основні категорії, поняття й терміни міжкультурної комунікації; </w:t>
      </w:r>
    </w:p>
    <w:p w14:paraId="58C71168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теоретичні основи, значення та роль міжкультурної комунікації у культурних контактах;</w:t>
      </w:r>
    </w:p>
    <w:p w14:paraId="67F3B844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типи, види, форми, моделі, структурні компоненти міжкультурної комунікації;</w:t>
      </w:r>
    </w:p>
    <w:p w14:paraId="0BF101B7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особливості субкультур та особливості культур націй і народів світу для досягнення взаєморозуміння й позитивного результату у міжкультурних контактах;</w:t>
      </w:r>
    </w:p>
    <w:p w14:paraId="37DB8A5F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природу міжкультурних нерозумінь й конфліктів і засоби виходу з них;</w:t>
      </w:r>
    </w:p>
    <w:p w14:paraId="7C581D86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методи й прийоми досягнення позитивного результату міжкультурної</w:t>
      </w:r>
      <w:r w:rsidRPr="0096527D">
        <w:t xml:space="preserve"> </w:t>
      </w:r>
      <w:r w:rsidRPr="0096527D">
        <w:rPr>
          <w:lang w:val="uk-UA"/>
        </w:rPr>
        <w:t>комунікації;</w:t>
      </w:r>
    </w:p>
    <w:p w14:paraId="5B7194AA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сучасні підходи до інтерпретації культури в міжкультурному спілкуванні; </w:t>
      </w:r>
    </w:p>
    <w:p w14:paraId="2F6128AF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сучасні зміни культури в епоху глобалізації; </w:t>
      </w:r>
    </w:p>
    <w:p w14:paraId="3D627CC5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значення культурних змін для взаємодії культур;</w:t>
      </w:r>
    </w:p>
    <w:p w14:paraId="06595814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процес виховання толерантної особистості;</w:t>
      </w:r>
    </w:p>
    <w:p w14:paraId="2C94A7D2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нові типи, форми та моделі спілкування; </w:t>
      </w:r>
    </w:p>
    <w:p w14:paraId="5DF6F1BD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особливості вербального спілкування представників різних культур; </w:t>
      </w:r>
    </w:p>
    <w:p w14:paraId="65A4C051" w14:textId="77777777" w:rsidR="008709B3" w:rsidRPr="0096527D" w:rsidRDefault="008709B3" w:rsidP="008709B3">
      <w:pPr>
        <w:tabs>
          <w:tab w:val="num" w:pos="180"/>
          <w:tab w:val="left" w:pos="709"/>
        </w:tabs>
        <w:jc w:val="both"/>
        <w:rPr>
          <w:lang w:val="hu-HU"/>
        </w:rPr>
      </w:pPr>
    </w:p>
    <w:p w14:paraId="7C72C966" w14:textId="77777777" w:rsidR="008709B3" w:rsidRPr="0096527D" w:rsidRDefault="008709B3" w:rsidP="008709B3">
      <w:pPr>
        <w:tabs>
          <w:tab w:val="left" w:pos="851"/>
        </w:tabs>
        <w:ind w:left="284"/>
        <w:jc w:val="both"/>
        <w:rPr>
          <w:b/>
          <w:lang w:val="hu-HU"/>
        </w:rPr>
      </w:pPr>
      <w:proofErr w:type="spellStart"/>
      <w:r w:rsidRPr="0096527D">
        <w:rPr>
          <w:b/>
          <w:lang w:val="hu-HU"/>
        </w:rPr>
        <w:t>вміти</w:t>
      </w:r>
      <w:proofErr w:type="spellEnd"/>
      <w:r w:rsidRPr="0096527D">
        <w:rPr>
          <w:b/>
          <w:lang w:val="hu-HU"/>
        </w:rPr>
        <w:t xml:space="preserve">: </w:t>
      </w:r>
    </w:p>
    <w:p w14:paraId="5AA5566C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застосовувати на практиці отримані знання в конкретних ситуаціях міжкультурної взаємодії;</w:t>
      </w:r>
    </w:p>
    <w:p w14:paraId="13F15D8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дотримуватись толерантного ставлення до інших культур та їх представників;</w:t>
      </w:r>
    </w:p>
    <w:p w14:paraId="2D9ECEC7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володіти методологічними прийомами комунікативної поведінки в різних сферах суспільного життя;</w:t>
      </w:r>
    </w:p>
    <w:p w14:paraId="406F78F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володіти методикою та навичками попередження й усунення міжкультурних конфліктів.</w:t>
      </w:r>
    </w:p>
    <w:p w14:paraId="0F8173C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застосовувати soft skills, зокрема: соціальні навички й навички міжособистісного спілкування, дипломатичність, тактовність, адаптивність, гнучкість, перманентний особистісний розвиток, управління часом, ерудованість, креативність</w:t>
      </w:r>
    </w:p>
    <w:p w14:paraId="74445CE8" w14:textId="77777777" w:rsidR="008709B3" w:rsidRPr="0096527D" w:rsidRDefault="008709B3" w:rsidP="008709B3">
      <w:pPr>
        <w:numPr>
          <w:ilvl w:val="0"/>
          <w:numId w:val="30"/>
        </w:numPr>
        <w:spacing w:after="0" w:line="240" w:lineRule="auto"/>
        <w:rPr>
          <w:lang w:val="uk-UA"/>
        </w:rPr>
      </w:pPr>
      <w:r w:rsidRPr="0096527D">
        <w:rPr>
          <w:lang w:val="uk-UA"/>
        </w:rPr>
        <w:t>виявляти  та аналізувати відмінності  в різних реалізаціях  української, англійської або угорської мовних картин світу, використовуючи основні складові професійної компетенції фахівця в сфері міжкультурної  комунікації: мовленнєву, мовну та лінгвокраїнознавчу компетенції.</w:t>
      </w:r>
    </w:p>
    <w:p w14:paraId="40B1B420" w14:textId="3228AD60" w:rsidR="008F0856" w:rsidRDefault="008F0856" w:rsidP="008709B3">
      <w:pPr>
        <w:spacing w:after="0" w:line="360" w:lineRule="auto"/>
        <w:jc w:val="center"/>
        <w:rPr>
          <w:i/>
          <w:szCs w:val="24"/>
          <w:lang w:val="en-GB"/>
        </w:rPr>
      </w:pPr>
    </w:p>
    <w:p w14:paraId="7C8E43B5" w14:textId="77777777" w:rsidR="008709B3" w:rsidRDefault="008709B3" w:rsidP="008709B3">
      <w:pPr>
        <w:spacing w:after="0" w:line="360" w:lineRule="auto"/>
        <w:rPr>
          <w:b/>
          <w:bCs/>
          <w:color w:val="auto"/>
          <w:szCs w:val="24"/>
          <w:lang w:val="hu-HU"/>
        </w:rPr>
      </w:pPr>
    </w:p>
    <w:p w14:paraId="05F29303" w14:textId="77777777" w:rsidR="008F0856" w:rsidRPr="00F10D96" w:rsidRDefault="008F0856" w:rsidP="008709B3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lastRenderedPageBreak/>
        <w:t>Список тем презентацій на семінарські заняття</w:t>
      </w:r>
    </w:p>
    <w:p w14:paraId="45FE8805" w14:textId="0C33824E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1</w:t>
      </w:r>
      <w:r>
        <w:rPr>
          <w:i/>
          <w:szCs w:val="24"/>
          <w:lang w:val="en-GB"/>
        </w:rPr>
        <w:t>, 2</w:t>
      </w:r>
    </w:p>
    <w:p w14:paraId="2F43CBBF" w14:textId="3B9E0421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tabs>
          <w:tab w:val="left" w:pos="5208"/>
        </w:tabs>
        <w:spacing w:after="0" w:line="360" w:lineRule="auto"/>
        <w:rPr>
          <w:i/>
          <w:szCs w:val="24"/>
        </w:rPr>
      </w:pPr>
      <w:r w:rsidRPr="008709B3">
        <w:rPr>
          <w:i/>
          <w:szCs w:val="24"/>
        </w:rPr>
        <w:t>Geert Hofstede’s Cultural Dimensions</w:t>
      </w:r>
    </w:p>
    <w:p w14:paraId="2CE9715F" w14:textId="56EC203F" w:rsidR="008F0856" w:rsidRPr="008709B3" w:rsidRDefault="008709B3" w:rsidP="008709B3">
      <w:pPr>
        <w:pStyle w:val="Listaszerbekezds"/>
        <w:widowControl w:val="0"/>
        <w:numPr>
          <w:ilvl w:val="0"/>
          <w:numId w:val="31"/>
        </w:numPr>
        <w:tabs>
          <w:tab w:val="left" w:pos="5208"/>
        </w:tabs>
        <w:spacing w:after="0" w:line="360" w:lineRule="auto"/>
        <w:rPr>
          <w:i/>
          <w:szCs w:val="24"/>
          <w:lang w:val="hu-HU"/>
        </w:rPr>
      </w:pPr>
      <w:r w:rsidRPr="008709B3">
        <w:rPr>
          <w:i/>
          <w:szCs w:val="24"/>
        </w:rPr>
        <w:t>Inter and multiculturalism. Intercultural awareness.</w:t>
      </w:r>
    </w:p>
    <w:p w14:paraId="12AF23CE" w14:textId="4C2F42A8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3</w:t>
      </w:r>
      <w:proofErr w:type="gramStart"/>
      <w:r w:rsidR="008709B3">
        <w:rPr>
          <w:i/>
          <w:szCs w:val="24"/>
          <w:lang w:val="en-GB"/>
        </w:rPr>
        <w:t>,4</w:t>
      </w:r>
      <w:proofErr w:type="gramEnd"/>
    </w:p>
    <w:p w14:paraId="0C666DE7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Intercultural competence</w:t>
      </w:r>
    </w:p>
    <w:p w14:paraId="39C7A304" w14:textId="22AB13BE" w:rsidR="008F0856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Globalization. The role of English.</w:t>
      </w:r>
    </w:p>
    <w:p w14:paraId="3AC5A9D8" w14:textId="2EEFBECC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</w:t>
      </w:r>
      <w:r w:rsidR="008709B3">
        <w:rPr>
          <w:i/>
          <w:szCs w:val="24"/>
          <w:lang w:val="en-GB"/>
        </w:rPr>
        <w:t>5</w:t>
      </w:r>
      <w:proofErr w:type="gramStart"/>
      <w:r w:rsidR="008709B3">
        <w:rPr>
          <w:i/>
          <w:szCs w:val="24"/>
          <w:lang w:val="en-GB"/>
        </w:rPr>
        <w:t>,6</w:t>
      </w:r>
      <w:proofErr w:type="gramEnd"/>
    </w:p>
    <w:p w14:paraId="2C8F5A9C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The cultural description of (history, geography, values and norms, customs, stereotypes, holidays etc.): The Hungarians and Ukrainians. </w:t>
      </w:r>
    </w:p>
    <w:p w14:paraId="7A8A83D0" w14:textId="1293DEF4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The cultural description of (history, geography, values and norms, customs, stereotypes, holidays etc.): The Brits.</w:t>
      </w:r>
    </w:p>
    <w:p w14:paraId="0F43106D" w14:textId="78894FEA" w:rsidR="008F0856" w:rsidRDefault="008F0856" w:rsidP="008709B3">
      <w:pPr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 w:rsidR="008709B3">
        <w:rPr>
          <w:i/>
          <w:szCs w:val="24"/>
          <w:lang w:val="en-GB"/>
        </w:rPr>
        <w:t>7</w:t>
      </w:r>
      <w:proofErr w:type="gramStart"/>
      <w:r w:rsidR="008709B3">
        <w:rPr>
          <w:i/>
          <w:szCs w:val="24"/>
          <w:lang w:val="en-GB"/>
        </w:rPr>
        <w:t>,8</w:t>
      </w:r>
      <w:proofErr w:type="gramEnd"/>
    </w:p>
    <w:p w14:paraId="0F64A22D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The cultural description of (history, geography, values and norms, customs, stereotypes, holidays etc.): The Americans. </w:t>
      </w:r>
    </w:p>
    <w:p w14:paraId="377AAE9B" w14:textId="22AE5FC2" w:rsid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The cultural description of (history, geography, values and norms, customs, stereotypes, holidays etc.): The Canadians.</w:t>
      </w:r>
    </w:p>
    <w:p w14:paraId="2C09A610" w14:textId="513973B9" w:rsidR="008709B3" w:rsidRDefault="008709B3" w:rsidP="008709B3">
      <w:pPr>
        <w:pStyle w:val="Listaszerbekezds"/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9</w:t>
      </w:r>
      <w:proofErr w:type="gramStart"/>
      <w:r>
        <w:rPr>
          <w:i/>
          <w:szCs w:val="24"/>
          <w:lang w:val="en-GB"/>
        </w:rPr>
        <w:t>,10</w:t>
      </w:r>
      <w:proofErr w:type="gramEnd"/>
    </w:p>
    <w:p w14:paraId="53BD8376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The cultural description of (history, geography, values and norms, customs, stereotypes, holidays etc.): The Australians and New Zealanders</w:t>
      </w:r>
    </w:p>
    <w:p w14:paraId="2419588D" w14:textId="28691B70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European Values Study. World Values Survey</w:t>
      </w:r>
    </w:p>
    <w:p w14:paraId="33E87EE2" w14:textId="77777777" w:rsidR="008709B3" w:rsidRPr="008709B3" w:rsidRDefault="008709B3" w:rsidP="008709B3">
      <w:pPr>
        <w:widowControl w:val="0"/>
        <w:spacing w:after="0" w:line="360" w:lineRule="auto"/>
        <w:ind w:left="360"/>
        <w:rPr>
          <w:i/>
          <w:szCs w:val="24"/>
          <w:lang w:val="en-GB"/>
        </w:rPr>
      </w:pPr>
      <w:bookmarkStart w:id="1" w:name="_GoBack"/>
    </w:p>
    <w:p w14:paraId="79E06F7B" w14:textId="77777777" w:rsidR="008F0856" w:rsidRDefault="008F0856" w:rsidP="008F08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на іспит</w:t>
      </w:r>
    </w:p>
    <w:bookmarkEnd w:id="0"/>
    <w:p w14:paraId="2A80BBB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What is Communication?</w:t>
      </w:r>
    </w:p>
    <w:p w14:paraId="27AE47E8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Verbal communication: Direct versus indirect</w:t>
      </w:r>
    </w:p>
    <w:p w14:paraId="64095364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 xml:space="preserve">Hofstede’s cultural dimensions: Individualism versus collectivism </w:t>
      </w:r>
    </w:p>
    <w:p w14:paraId="54D10170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Communication models</w:t>
      </w:r>
    </w:p>
    <w:p w14:paraId="713104EB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Elaborate versus succinct</w:t>
      </w:r>
    </w:p>
    <w:p w14:paraId="0096A66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 xml:space="preserve">Hofstede’s cultural dimensions: Masculinity versus femininity </w:t>
      </w:r>
    </w:p>
    <w:p w14:paraId="2E7AA126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General communication model</w:t>
      </w:r>
    </w:p>
    <w:p w14:paraId="3184FF94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Personal versus contextual</w:t>
      </w:r>
    </w:p>
    <w:p w14:paraId="564DAEC3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Hofstede’s cultural dimensions: Long-term orientation</w:t>
      </w:r>
    </w:p>
    <w:p w14:paraId="7D3656CD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Circular communication model</w:t>
      </w:r>
    </w:p>
    <w:p w14:paraId="28ACE47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Instrumental versus affective</w:t>
      </w:r>
    </w:p>
    <w:p w14:paraId="0BC59BF3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lastRenderedPageBreak/>
        <w:t xml:space="preserve">Hofstede’s cultural dimensions: Uncertainty avoidance index </w:t>
      </w:r>
    </w:p>
    <w:p w14:paraId="36FC7047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 xml:space="preserve">Communication barriers </w:t>
      </w:r>
    </w:p>
    <w:p w14:paraId="0D6C13B6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Nonverbal communication - Kinesics</w:t>
      </w:r>
    </w:p>
    <w:p w14:paraId="063CDE46" w14:textId="77777777" w:rsidR="005A0F26" w:rsidRPr="008F7FA6" w:rsidRDefault="005A0F26" w:rsidP="005A0F26">
      <w:pPr>
        <w:ind w:left="360"/>
        <w:rPr>
          <w:rFonts w:eastAsia="Times New Roman"/>
          <w:szCs w:val="24"/>
          <w:lang w:val="hu-HU" w:eastAsia="hu-HU"/>
        </w:rPr>
      </w:pPr>
      <w:r w:rsidRPr="008F7FA6">
        <w:rPr>
          <w:rFonts w:eastAsia="Times New Roman"/>
          <w:szCs w:val="24"/>
          <w:lang w:eastAsia="hu-HU"/>
        </w:rPr>
        <w:t>Hofstede’s cultural dimensions: Indulgence versus restraint</w:t>
      </w:r>
    </w:p>
    <w:p w14:paraId="6827DCE6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Listening skills</w:t>
      </w:r>
    </w:p>
    <w:p w14:paraId="5C52499B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Haptics</w:t>
      </w:r>
    </w:p>
    <w:p w14:paraId="5BDEA848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dimensions: Power distance index</w:t>
      </w:r>
    </w:p>
    <w:p w14:paraId="07EABE5B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Barriers of effective listening</w:t>
      </w:r>
    </w:p>
    <w:p w14:paraId="5395679F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Low-context cultures versus high-context cultures</w:t>
      </w:r>
    </w:p>
    <w:p w14:paraId="25B5324E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</w:t>
      </w:r>
    </w:p>
    <w:p w14:paraId="33579142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What is cross-cultural communication?</w:t>
      </w:r>
    </w:p>
    <w:p w14:paraId="416C7049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Communication levels</w:t>
      </w:r>
    </w:p>
    <w:p w14:paraId="781C7C27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Low-context cultures</w:t>
      </w:r>
    </w:p>
    <w:p w14:paraId="77D3E9FD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intrapersonal vs. interpersonal</w:t>
      </w:r>
    </w:p>
    <w:p w14:paraId="17C478A3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Verbal Communication</w:t>
      </w:r>
    </w:p>
    <w:p w14:paraId="6754C414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High-context cultures</w:t>
      </w:r>
    </w:p>
    <w:p w14:paraId="39F31C51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intragroup vs. intergroup</w:t>
      </w:r>
    </w:p>
    <w:p w14:paraId="3E921C3A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Paralanguage</w:t>
      </w:r>
    </w:p>
    <w:p w14:paraId="0651BDE2" w14:textId="77777777" w:rsidR="005A0F26" w:rsidRPr="008F7FA6" w:rsidRDefault="005A0F26" w:rsidP="005A0F26">
      <w:pPr>
        <w:ind w:left="360"/>
        <w:rPr>
          <w:rFonts w:eastAsia="Times New Roman"/>
          <w:szCs w:val="24"/>
          <w:lang w:val="hu-HU" w:eastAsia="ru-RU"/>
        </w:rPr>
      </w:pPr>
      <w:r w:rsidRPr="008F7FA6">
        <w:rPr>
          <w:rFonts w:eastAsia="Times New Roman"/>
          <w:szCs w:val="24"/>
          <w:lang w:eastAsia="ru-RU"/>
        </w:rPr>
        <w:t>Low -context communication</w:t>
      </w:r>
    </w:p>
    <w:bookmarkEnd w:id="1"/>
    <w:p w14:paraId="7F084E17" w14:textId="77777777" w:rsidR="004544D3" w:rsidRPr="0023651D" w:rsidRDefault="004544D3" w:rsidP="004544D3">
      <w:pPr>
        <w:shd w:val="clear" w:color="auto" w:fill="FFFFFF"/>
        <w:spacing w:after="0" w:line="360" w:lineRule="auto"/>
        <w:jc w:val="center"/>
        <w:rPr>
          <w:b/>
          <w:bCs/>
          <w:spacing w:val="-6"/>
          <w:szCs w:val="24"/>
          <w:lang w:val="uk-UA"/>
        </w:rPr>
      </w:pPr>
      <w:r w:rsidRPr="0023651D">
        <w:rPr>
          <w:b/>
          <w:szCs w:val="24"/>
          <w:lang w:val="uk-UA"/>
        </w:rPr>
        <w:t>Рекомендована література</w:t>
      </w:r>
    </w:p>
    <w:p w14:paraId="7CA8B213" w14:textId="77777777" w:rsidR="004544D3" w:rsidRDefault="004544D3" w:rsidP="004544D3">
      <w:pPr>
        <w:spacing w:line="276" w:lineRule="auto"/>
        <w:ind w:left="360"/>
      </w:pPr>
      <w:r w:rsidRPr="00ED087B">
        <w:t xml:space="preserve">Абрамович С.Д., Чікарькова М.Ю. Мовленнєва комунікація: підручник. [Текст] </w:t>
      </w:r>
      <w:r>
        <w:t xml:space="preserve">/ </w:t>
      </w:r>
      <w:r w:rsidRPr="00ED087B">
        <w:t>С.Д. Абрамович, М.Ю. Чікарькова. – К.: Видавничий дім Дмитра Бураго, 2013. – 464 с.</w:t>
      </w:r>
    </w:p>
    <w:p w14:paraId="6EC48E7E" w14:textId="77777777" w:rsidR="004544D3" w:rsidRDefault="004544D3" w:rsidP="004544D3">
      <w:pPr>
        <w:spacing w:line="276" w:lineRule="auto"/>
        <w:ind w:left="360"/>
      </w:pPr>
      <w:r w:rsidRPr="00ED087B">
        <w:t>Косенко Ю.В. Основи теорії мовної комунікації: навч. п</w:t>
      </w:r>
      <w:r>
        <w:t>осіб. [Текст] / Ю.В. Косенко. –</w:t>
      </w:r>
      <w:r w:rsidRPr="00ED087B">
        <w:t>Суми.: Сумський державний університет, 2011. – 187 с</w:t>
      </w:r>
    </w:p>
    <w:p w14:paraId="059B60E7" w14:textId="77777777" w:rsidR="004544D3" w:rsidRPr="003D714C" w:rsidRDefault="004544D3" w:rsidP="004544D3">
      <w:pPr>
        <w:spacing w:line="276" w:lineRule="auto"/>
        <w:ind w:left="360"/>
      </w:pPr>
      <w:r w:rsidRPr="005F158A">
        <w:t>Селіванова О.О. Основи теорії мовної комунікації / О.О. Селівано</w:t>
      </w:r>
      <w:r>
        <w:t>ва. – Черкаси.: Чабаненко Ю.А.,</w:t>
      </w:r>
      <w:r w:rsidRPr="005F158A">
        <w:t>2011. –</w:t>
      </w:r>
      <w:r w:rsidRPr="008F7FA6">
        <w:rPr>
          <w:lang w:val="hu-HU"/>
        </w:rPr>
        <w:t xml:space="preserve"> </w:t>
      </w:r>
      <w:r w:rsidRPr="005F158A">
        <w:t>350 с.</w:t>
      </w:r>
    </w:p>
    <w:p w14:paraId="34E12B67" w14:textId="77777777" w:rsidR="004544D3" w:rsidRPr="008F7FA6" w:rsidRDefault="004544D3" w:rsidP="004544D3">
      <w:pPr>
        <w:spacing w:line="276" w:lineRule="auto"/>
        <w:ind w:left="360"/>
        <w:rPr>
          <w:lang w:val="hu-HU"/>
        </w:rPr>
      </w:pPr>
      <w:r w:rsidRPr="008F7FA6">
        <w:t>Corbett, J. (2003). An Intercultural Approach To English Language Teaching. Clevedon: Multilingual Matters Limited.</w:t>
      </w:r>
    </w:p>
    <w:p w14:paraId="3D4ACBB6" w14:textId="77777777" w:rsidR="004544D3" w:rsidRPr="008F7FA6" w:rsidRDefault="004544D3" w:rsidP="004544D3">
      <w:pPr>
        <w:spacing w:line="276" w:lineRule="auto"/>
        <w:ind w:left="360"/>
      </w:pPr>
      <w:r w:rsidRPr="008F7FA6">
        <w:t>Cowen, T. (2002). Creative Destruction. How Globalization is Changing the World’s Cultures. Princeton: Princeton University Press.</w:t>
      </w:r>
    </w:p>
    <w:p w14:paraId="7975CEEB" w14:textId="77777777" w:rsidR="004544D3" w:rsidRPr="008F7FA6" w:rsidRDefault="004544D3" w:rsidP="004544D3">
      <w:pPr>
        <w:spacing w:line="276" w:lineRule="auto"/>
        <w:ind w:left="360"/>
      </w:pPr>
      <w:r w:rsidRPr="008F7FA6">
        <w:t>Ember, M. &amp; Ember, C. R. (2001). Countries and their Cultures. Vol. 1-4. New York: Macmillan Reference USA.</w:t>
      </w:r>
    </w:p>
    <w:p w14:paraId="37900A5A" w14:textId="77777777" w:rsidR="004544D3" w:rsidRPr="008F7FA6" w:rsidRDefault="004544D3" w:rsidP="004544D3">
      <w:pPr>
        <w:spacing w:line="276" w:lineRule="auto"/>
        <w:ind w:left="360"/>
      </w:pPr>
      <w:r w:rsidRPr="008F7FA6">
        <w:t>Ghoshylyk, V. &amp; Ghoshylyk, N. (eds.) (2010).A Glossary of Intercultural Communication. Ivano-Frankivsk.</w:t>
      </w:r>
    </w:p>
    <w:p w14:paraId="2BE9F7A3" w14:textId="77777777" w:rsidR="004544D3" w:rsidRPr="008F7FA6" w:rsidRDefault="004544D3" w:rsidP="004544D3">
      <w:pPr>
        <w:spacing w:line="276" w:lineRule="auto"/>
        <w:ind w:left="360"/>
      </w:pPr>
      <w:r w:rsidRPr="008F7FA6">
        <w:lastRenderedPageBreak/>
        <w:t>Harris, P. R., and Moran, R. T. &amp; Moran, S. V. (2004). Managing Cultural Differences. Global Leadership Strategies for the twenty-first century [6th ed.]. Burlington: Elsevier Butterworth-Heinemann.</w:t>
      </w:r>
    </w:p>
    <w:p w14:paraId="49CDF2FE" w14:textId="77777777" w:rsidR="004544D3" w:rsidRPr="008F7FA6" w:rsidRDefault="004544D3" w:rsidP="004544D3">
      <w:pPr>
        <w:spacing w:line="276" w:lineRule="auto"/>
        <w:ind w:left="360"/>
      </w:pPr>
      <w:r w:rsidRPr="008F7FA6">
        <w:t>Hidasi, J. (2004). Interkulturális kommunikáció. Budapest: Scolar.</w:t>
      </w:r>
    </w:p>
    <w:p w14:paraId="7CEFDEC0" w14:textId="77777777" w:rsidR="004544D3" w:rsidRPr="008F7FA6" w:rsidRDefault="004544D3" w:rsidP="004544D3">
      <w:pPr>
        <w:spacing w:line="276" w:lineRule="auto"/>
        <w:ind w:left="360"/>
      </w:pPr>
      <w:r w:rsidRPr="008F7FA6">
        <w:t>Holliday, A ., Hyde, M. &amp; Kullman, J. (2004). Intercultural Communication: An Advanced Resource Book. London - New York: Routledge.</w:t>
      </w:r>
    </w:p>
    <w:p w14:paraId="19415BD8" w14:textId="77777777" w:rsidR="004544D3" w:rsidRPr="008F7FA6" w:rsidRDefault="004544D3" w:rsidP="004544D3">
      <w:pPr>
        <w:spacing w:line="276" w:lineRule="auto"/>
        <w:ind w:left="360"/>
      </w:pPr>
      <w:r w:rsidRPr="008F7FA6">
        <w:t>Katan, D. (1997). Translating Cultures. An Introduction for Translators, Interpreters and Mediators. Manchester: St. Jerome Publishing.</w:t>
      </w:r>
    </w:p>
    <w:p w14:paraId="7B6D3D1D" w14:textId="77777777" w:rsidR="004544D3" w:rsidRPr="008F7FA6" w:rsidRDefault="004544D3" w:rsidP="004544D3">
      <w:pPr>
        <w:spacing w:line="276" w:lineRule="auto"/>
        <w:ind w:left="360"/>
      </w:pPr>
      <w:r w:rsidRPr="008F7FA6">
        <w:t>Peterson, B. (2004).Cultural Intelligence: A Guide to Work and Life with People from Other Cultures. Yarmouth: Intercultural Press.</w:t>
      </w:r>
    </w:p>
    <w:p w14:paraId="28CE84F6" w14:textId="77777777" w:rsidR="004544D3" w:rsidRPr="008F7FA6" w:rsidRDefault="004544D3" w:rsidP="004544D3">
      <w:pPr>
        <w:spacing w:line="276" w:lineRule="auto"/>
        <w:ind w:left="360"/>
      </w:pPr>
      <w:r w:rsidRPr="008F7FA6">
        <w:t>PolupanV.L., Polupan A.P,   Makhova V.V. A cultural reader. English – speaking countries. Akademia 2000</w:t>
      </w:r>
    </w:p>
    <w:p w14:paraId="15CF9BEC" w14:textId="77777777" w:rsidR="004544D3" w:rsidRPr="008F7FA6" w:rsidRDefault="004544D3" w:rsidP="004544D3">
      <w:pPr>
        <w:spacing w:line="276" w:lineRule="auto"/>
        <w:ind w:left="360"/>
      </w:pPr>
      <w:r w:rsidRPr="008F7FA6">
        <w:t>Reisinger, Y. (2009). International Tourism: Cultures and Behavior. Oxfor: Butterworth-Heinemann..</w:t>
      </w:r>
    </w:p>
    <w:p w14:paraId="589D7C4F" w14:textId="77777777" w:rsidR="004544D3" w:rsidRPr="008F7FA6" w:rsidRDefault="004544D3" w:rsidP="004544D3">
      <w:pPr>
        <w:spacing w:line="276" w:lineRule="auto"/>
        <w:ind w:left="360"/>
      </w:pPr>
      <w:r w:rsidRPr="008F7FA6">
        <w:t>Spencer-Oatey, H. &amp; Franklin , P. (2009). Intercultural Interaction: A Multidisciplinary Approach to Intercultural Communication (Research and Practice in Applied Linguistics). Basingstoke: Palgrave Macmillan.</w:t>
      </w:r>
    </w:p>
    <w:p w14:paraId="2CB6B8CB" w14:textId="77777777" w:rsidR="004544D3" w:rsidRPr="008F7FA6" w:rsidRDefault="004544D3" w:rsidP="004544D3">
      <w:pPr>
        <w:widowControl w:val="0"/>
        <w:autoSpaceDE w:val="0"/>
        <w:autoSpaceDN w:val="0"/>
        <w:spacing w:line="276" w:lineRule="auto"/>
        <w:ind w:left="360"/>
        <w:jc w:val="both"/>
        <w:rPr>
          <w:lang w:val="en-US"/>
        </w:rPr>
      </w:pPr>
      <w:r w:rsidRPr="008F7FA6">
        <w:t>Ting-Toomey, S. (1999). Communicating Across Cultures. New York - London: The Guilford Press.</w:t>
      </w:r>
    </w:p>
    <w:p w14:paraId="02445078" w14:textId="77777777" w:rsidR="005A252B" w:rsidRPr="008F0856" w:rsidRDefault="005A252B" w:rsidP="004544D3">
      <w:pPr>
        <w:widowControl w:val="0"/>
        <w:spacing w:line="360" w:lineRule="auto"/>
        <w:ind w:left="240" w:hanging="240"/>
        <w:rPr>
          <w:lang w:val="uk-UA"/>
        </w:rPr>
      </w:pPr>
    </w:p>
    <w:sectPr w:rsidR="005A252B" w:rsidRPr="008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F8D"/>
    <w:multiLevelType w:val="hybridMultilevel"/>
    <w:tmpl w:val="9C944B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F3978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F3615"/>
    <w:multiLevelType w:val="hybridMultilevel"/>
    <w:tmpl w:val="291690A4"/>
    <w:lvl w:ilvl="0" w:tplc="7FE8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3BA"/>
    <w:multiLevelType w:val="hybridMultilevel"/>
    <w:tmpl w:val="3CE0C328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60377"/>
    <w:multiLevelType w:val="multilevel"/>
    <w:tmpl w:val="5792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070B2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C053F"/>
    <w:multiLevelType w:val="hybridMultilevel"/>
    <w:tmpl w:val="FE084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27D3"/>
    <w:multiLevelType w:val="hybridMultilevel"/>
    <w:tmpl w:val="0B123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8C7CEE"/>
    <w:multiLevelType w:val="hybridMultilevel"/>
    <w:tmpl w:val="93E67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C231F"/>
    <w:multiLevelType w:val="hybridMultilevel"/>
    <w:tmpl w:val="0D4EE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12EA9"/>
    <w:multiLevelType w:val="hybridMultilevel"/>
    <w:tmpl w:val="A838E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A3549"/>
    <w:multiLevelType w:val="hybridMultilevel"/>
    <w:tmpl w:val="FB5C7C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00521"/>
    <w:multiLevelType w:val="hybridMultilevel"/>
    <w:tmpl w:val="C69AA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06907"/>
    <w:multiLevelType w:val="hybridMultilevel"/>
    <w:tmpl w:val="EAD826D6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94E3B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52EF0"/>
    <w:multiLevelType w:val="hybridMultilevel"/>
    <w:tmpl w:val="CEE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4F60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784F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6347B"/>
    <w:multiLevelType w:val="hybridMultilevel"/>
    <w:tmpl w:val="9E9419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932120"/>
    <w:multiLevelType w:val="hybridMultilevel"/>
    <w:tmpl w:val="3C70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97886"/>
    <w:multiLevelType w:val="hybridMultilevel"/>
    <w:tmpl w:val="DF649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63469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807C5"/>
    <w:multiLevelType w:val="hybridMultilevel"/>
    <w:tmpl w:val="CEE8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C2E89"/>
    <w:multiLevelType w:val="hybridMultilevel"/>
    <w:tmpl w:val="05B67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234ED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92CB7"/>
    <w:multiLevelType w:val="hybridMultilevel"/>
    <w:tmpl w:val="F164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C934E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138B9"/>
    <w:multiLevelType w:val="hybridMultilevel"/>
    <w:tmpl w:val="BE60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3226C"/>
    <w:multiLevelType w:val="hybridMultilevel"/>
    <w:tmpl w:val="AD78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8274F"/>
    <w:multiLevelType w:val="hybridMultilevel"/>
    <w:tmpl w:val="87A8DD2A"/>
    <w:lvl w:ilvl="0" w:tplc="A9F8F8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31A88"/>
    <w:multiLevelType w:val="hybridMultilevel"/>
    <w:tmpl w:val="3C0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4B6F"/>
    <w:multiLevelType w:val="hybridMultilevel"/>
    <w:tmpl w:val="72361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FC2E90"/>
    <w:multiLevelType w:val="hybridMultilevel"/>
    <w:tmpl w:val="FA4C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867759"/>
    <w:multiLevelType w:val="hybridMultilevel"/>
    <w:tmpl w:val="CDF83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8D5E12"/>
    <w:multiLevelType w:val="hybridMultilevel"/>
    <w:tmpl w:val="566AAE28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8"/>
  </w:num>
  <w:num w:numId="5">
    <w:abstractNumId w:val="25"/>
  </w:num>
  <w:num w:numId="6">
    <w:abstractNumId w:val="19"/>
  </w:num>
  <w:num w:numId="7">
    <w:abstractNumId w:val="3"/>
  </w:num>
  <w:num w:numId="8">
    <w:abstractNumId w:val="7"/>
  </w:num>
  <w:num w:numId="9">
    <w:abstractNumId w:val="30"/>
  </w:num>
  <w:num w:numId="10">
    <w:abstractNumId w:val="18"/>
  </w:num>
  <w:num w:numId="11">
    <w:abstractNumId w:val="20"/>
  </w:num>
  <w:num w:numId="12">
    <w:abstractNumId w:val="27"/>
  </w:num>
  <w:num w:numId="13">
    <w:abstractNumId w:val="13"/>
  </w:num>
  <w:num w:numId="14">
    <w:abstractNumId w:val="16"/>
  </w:num>
  <w:num w:numId="15">
    <w:abstractNumId w:val="17"/>
  </w:num>
  <w:num w:numId="16">
    <w:abstractNumId w:val="31"/>
  </w:num>
  <w:num w:numId="17">
    <w:abstractNumId w:val="22"/>
  </w:num>
  <w:num w:numId="18">
    <w:abstractNumId w:val="4"/>
  </w:num>
  <w:num w:numId="19">
    <w:abstractNumId w:val="3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5"/>
  </w:num>
  <w:num w:numId="24">
    <w:abstractNumId w:val="24"/>
  </w:num>
  <w:num w:numId="25">
    <w:abstractNumId w:val="33"/>
  </w:num>
  <w:num w:numId="26">
    <w:abstractNumId w:val="15"/>
  </w:num>
  <w:num w:numId="27">
    <w:abstractNumId w:val="0"/>
  </w:num>
  <w:num w:numId="28">
    <w:abstractNumId w:val="29"/>
  </w:num>
  <w:num w:numId="29">
    <w:abstractNumId w:val="10"/>
  </w:num>
  <w:num w:numId="30">
    <w:abstractNumId w:val="9"/>
  </w:num>
  <w:num w:numId="31">
    <w:abstractNumId w:val="12"/>
  </w:num>
  <w:num w:numId="32">
    <w:abstractNumId w:val="11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1C2D26"/>
    <w:rsid w:val="00247A2A"/>
    <w:rsid w:val="002D4C05"/>
    <w:rsid w:val="004544D3"/>
    <w:rsid w:val="005A0F26"/>
    <w:rsid w:val="005A252B"/>
    <w:rsid w:val="005A482E"/>
    <w:rsid w:val="006805AD"/>
    <w:rsid w:val="00683300"/>
    <w:rsid w:val="007247FE"/>
    <w:rsid w:val="007D63FD"/>
    <w:rsid w:val="008709B3"/>
    <w:rsid w:val="008762E0"/>
    <w:rsid w:val="008F0856"/>
    <w:rsid w:val="009530E0"/>
    <w:rsid w:val="009E647F"/>
    <w:rsid w:val="00A27058"/>
    <w:rsid w:val="00A53B8E"/>
    <w:rsid w:val="00AC3C48"/>
    <w:rsid w:val="00AD29B6"/>
    <w:rsid w:val="00C07DC9"/>
    <w:rsid w:val="00C90B4F"/>
    <w:rsid w:val="00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0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961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19</cp:revision>
  <dcterms:created xsi:type="dcterms:W3CDTF">2018-02-18T16:19:00Z</dcterms:created>
  <dcterms:modified xsi:type="dcterms:W3CDTF">2022-11-05T11:29:00Z</dcterms:modified>
</cp:coreProperties>
</file>