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7F07" w14:textId="77777777" w:rsidR="00A96964" w:rsidRPr="0082407F" w:rsidRDefault="00A96964" w:rsidP="00DD04D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407F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8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DD04D5" w:rsidRPr="0082407F" w14:paraId="4417DBE7" w14:textId="77777777" w:rsidTr="00A20407">
        <w:trPr>
          <w:trHeight w:val="1453"/>
        </w:trPr>
        <w:tc>
          <w:tcPr>
            <w:tcW w:w="1819" w:type="dxa"/>
          </w:tcPr>
          <w:p w14:paraId="7CC9EF3B" w14:textId="77777777" w:rsidR="00A96964" w:rsidRPr="0082407F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69EB9368" w14:textId="5F609DB1" w:rsidR="00A96964" w:rsidRPr="0082407F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0D82E90E" w14:textId="188E6758" w:rsidR="00A96964" w:rsidRPr="0082407F" w:rsidRDefault="00F26B84" w:rsidP="00DD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</w:tcPr>
          <w:p w14:paraId="7233839E" w14:textId="77777777" w:rsidR="00A96964" w:rsidRPr="0082407F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  <w:p w14:paraId="3D4D33D1" w14:textId="40549254" w:rsidR="00A96964" w:rsidRPr="0082407F" w:rsidRDefault="00A96964" w:rsidP="00DD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55C9B6A9" w14:textId="077E6EF8" w:rsidR="00A96964" w:rsidRPr="0082407F" w:rsidRDefault="00F26B84" w:rsidP="00DD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14:paraId="36715427" w14:textId="77777777" w:rsidR="00A96964" w:rsidRPr="0082407F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  <w:p w14:paraId="34B61F14" w14:textId="4A429A0B" w:rsidR="00A96964" w:rsidRPr="00F26B84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21" w:type="dxa"/>
          </w:tcPr>
          <w:p w14:paraId="4D7CE72B" w14:textId="77777777" w:rsidR="00A96964" w:rsidRDefault="00F26B84" w:rsidP="00DD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 w:rsidRPr="008240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  <w:p w14:paraId="32F95465" w14:textId="77777777" w:rsidR="00D6230C" w:rsidRDefault="00D6230C" w:rsidP="00DD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9D323F9" w14:textId="07EAE716" w:rsidR="00D6230C" w:rsidRPr="0082407F" w:rsidRDefault="00D6230C" w:rsidP="00DD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Spring</w:t>
            </w:r>
          </w:p>
        </w:tc>
      </w:tr>
    </w:tbl>
    <w:p w14:paraId="625BFB97" w14:textId="77777777" w:rsidR="00A96964" w:rsidRPr="0082407F" w:rsidRDefault="00A96964" w:rsidP="00DD04D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82407F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82407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802"/>
        <w:gridCol w:w="6691"/>
      </w:tblGrid>
      <w:tr w:rsidR="00DD04D5" w:rsidRPr="00D16095" w14:paraId="01D0871B" w14:textId="77777777" w:rsidTr="00A20407">
        <w:tc>
          <w:tcPr>
            <w:tcW w:w="2802" w:type="dxa"/>
            <w:shd w:val="clear" w:color="auto" w:fill="D9D9D9" w:themeFill="background1" w:themeFillShade="D9"/>
          </w:tcPr>
          <w:p w14:paraId="7DCFC56A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5737D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691" w:type="dxa"/>
          </w:tcPr>
          <w:p w14:paraId="65BC3F2D" w14:textId="77777777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Stylistics of the English language</w:t>
            </w:r>
          </w:p>
        </w:tc>
      </w:tr>
      <w:tr w:rsidR="00DD04D5" w:rsidRPr="00D16095" w14:paraId="1C716CDB" w14:textId="77777777" w:rsidTr="00A20407">
        <w:tc>
          <w:tcPr>
            <w:tcW w:w="2802" w:type="dxa"/>
            <w:shd w:val="clear" w:color="auto" w:fill="D9D9D9" w:themeFill="background1" w:themeFillShade="D9"/>
          </w:tcPr>
          <w:p w14:paraId="37DBBD8C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37A2F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691" w:type="dxa"/>
          </w:tcPr>
          <w:p w14:paraId="14730AC9" w14:textId="77777777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Philology Department</w:t>
            </w:r>
          </w:p>
        </w:tc>
      </w:tr>
      <w:tr w:rsidR="00DD04D5" w:rsidRPr="00D16095" w14:paraId="18856A20" w14:textId="77777777" w:rsidTr="00A20407">
        <w:tc>
          <w:tcPr>
            <w:tcW w:w="2802" w:type="dxa"/>
            <w:shd w:val="clear" w:color="auto" w:fill="D9D9D9" w:themeFill="background1" w:themeFillShade="D9"/>
          </w:tcPr>
          <w:p w14:paraId="4669CB00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D96BD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691" w:type="dxa"/>
          </w:tcPr>
          <w:p w14:paraId="2FACC566" w14:textId="77777777" w:rsidR="00D16095" w:rsidRPr="00D16095" w:rsidRDefault="00D16095" w:rsidP="00D1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014 Середня освіта (мова і література (англійська))</w:t>
            </w:r>
          </w:p>
          <w:p w14:paraId="121DB3BF" w14:textId="77777777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D5" w:rsidRPr="00D16095" w14:paraId="776553D8" w14:textId="77777777" w:rsidTr="00A20407">
        <w:tc>
          <w:tcPr>
            <w:tcW w:w="2802" w:type="dxa"/>
            <w:shd w:val="clear" w:color="auto" w:fill="D9D9D9" w:themeFill="background1" w:themeFillShade="D9"/>
          </w:tcPr>
          <w:p w14:paraId="514508E4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691" w:type="dxa"/>
          </w:tcPr>
          <w:p w14:paraId="607306AA" w14:textId="77777777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: core  course</w:t>
            </w:r>
          </w:p>
          <w:p w14:paraId="37D3A0EB" w14:textId="1086C0C4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Number of  ECTS credits: </w:t>
            </w:r>
            <w:r w:rsidR="00F26B84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6</w:t>
            </w:r>
          </w:p>
          <w:p w14:paraId="4CD12632" w14:textId="0CFB2F20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Lectures:</w:t>
            </w:r>
            <w:r w:rsidR="00F26B8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(Learner centered, interactive, cooperative)</w:t>
            </w:r>
          </w:p>
          <w:p w14:paraId="0EB3294E" w14:textId="41A75136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Seminars: </w:t>
            </w:r>
            <w:r w:rsidR="00F26B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A444059" w14:textId="68E0464C" w:rsidR="00A96964" w:rsidRPr="00D16095" w:rsidRDefault="00A96964" w:rsidP="00D1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Independent study: </w:t>
            </w:r>
            <w:r w:rsidR="00F26B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  <w:r w:rsidR="00D16095"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D04D5" w:rsidRPr="00D16095" w14:paraId="3FBAA015" w14:textId="77777777" w:rsidTr="00A20407">
        <w:tc>
          <w:tcPr>
            <w:tcW w:w="2802" w:type="dxa"/>
            <w:shd w:val="clear" w:color="auto" w:fill="D9D9D9" w:themeFill="background1" w:themeFillShade="D9"/>
          </w:tcPr>
          <w:p w14:paraId="054E8A8C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691" w:type="dxa"/>
          </w:tcPr>
          <w:p w14:paraId="0201B19F" w14:textId="77777777" w:rsidR="00F26B84" w:rsidRPr="00C702F2" w:rsidRDefault="00F26B84" w:rsidP="00F26B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02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Vrabel T., PhD, Associate professor</w:t>
            </w:r>
          </w:p>
          <w:p w14:paraId="5A170228" w14:textId="1607C747" w:rsidR="00A96964" w:rsidRPr="00D16095" w:rsidRDefault="00F26B84" w:rsidP="00F26B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Томаш Врабель </w:t>
            </w:r>
            <w:hyperlink r:id="rId5" w:history="1">
              <w:r w:rsidRPr="00C702F2">
                <w:rPr>
                  <w:rStyle w:val="a9"/>
                  <w:rFonts w:cs="Times New Roman"/>
                  <w:sz w:val="24"/>
                  <w:szCs w:val="24"/>
                  <w:lang w:val="en-GB"/>
                </w:rPr>
                <w:t>vrabely</w:t>
              </w:r>
              <w:r w:rsidRPr="000A6F49">
                <w:rPr>
                  <w:rStyle w:val="a9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C702F2">
                <w:rPr>
                  <w:rStyle w:val="a9"/>
                  <w:rFonts w:cs="Times New Roman"/>
                  <w:sz w:val="24"/>
                  <w:szCs w:val="24"/>
                  <w:lang w:val="en-GB"/>
                </w:rPr>
                <w:t>tamash</w:t>
              </w:r>
              <w:r w:rsidRPr="000A6F49">
                <w:rPr>
                  <w:rStyle w:val="a9"/>
                  <w:rFonts w:cs="Times New Roman"/>
                  <w:sz w:val="24"/>
                  <w:szCs w:val="24"/>
                  <w:lang w:val="ru-RU"/>
                </w:rPr>
                <w:t>@</w:t>
              </w:r>
              <w:r w:rsidRPr="00C702F2">
                <w:rPr>
                  <w:rStyle w:val="a9"/>
                  <w:rFonts w:cs="Times New Roman"/>
                  <w:sz w:val="24"/>
                  <w:szCs w:val="24"/>
                  <w:lang w:val="en-GB"/>
                </w:rPr>
                <w:t>kmf</w:t>
              </w:r>
              <w:r w:rsidRPr="000A6F49">
                <w:rPr>
                  <w:rStyle w:val="a9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C702F2">
                <w:rPr>
                  <w:rStyle w:val="a9"/>
                  <w:rFonts w:cs="Times New Roman"/>
                  <w:sz w:val="24"/>
                  <w:szCs w:val="24"/>
                  <w:lang w:val="en-GB"/>
                </w:rPr>
                <w:t>org</w:t>
              </w:r>
              <w:r w:rsidRPr="000A6F49">
                <w:rPr>
                  <w:rStyle w:val="a9"/>
                  <w:rFonts w:cs="Times New Roman"/>
                  <w:sz w:val="24"/>
                  <w:szCs w:val="24"/>
                  <w:lang w:val="ru-RU"/>
                </w:rPr>
                <w:t>.</w:t>
              </w:r>
              <w:r w:rsidRPr="00C702F2">
                <w:rPr>
                  <w:rStyle w:val="a9"/>
                  <w:rFonts w:cs="Times New Roman"/>
                  <w:sz w:val="24"/>
                  <w:szCs w:val="24"/>
                  <w:lang w:val="en-GB"/>
                </w:rPr>
                <w:t>ua</w:t>
              </w:r>
            </w:hyperlink>
            <w:r w:rsidRPr="000A6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D04D5" w:rsidRPr="00D16095" w14:paraId="4B06A490" w14:textId="77777777" w:rsidTr="00A20407">
        <w:tc>
          <w:tcPr>
            <w:tcW w:w="2802" w:type="dxa"/>
            <w:shd w:val="clear" w:color="auto" w:fill="D9D9D9" w:themeFill="background1" w:themeFillShade="D9"/>
          </w:tcPr>
          <w:p w14:paraId="759C2084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691" w:type="dxa"/>
          </w:tcPr>
          <w:p w14:paraId="01984E76" w14:textId="77777777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linguistics</w:t>
            </w:r>
          </w:p>
        </w:tc>
      </w:tr>
      <w:tr w:rsidR="00DD04D5" w:rsidRPr="00D16095" w14:paraId="6462193F" w14:textId="77777777" w:rsidTr="00A20407">
        <w:tc>
          <w:tcPr>
            <w:tcW w:w="2802" w:type="dxa"/>
            <w:shd w:val="clear" w:color="auto" w:fill="D9D9D9" w:themeFill="background1" w:themeFillShade="D9"/>
          </w:tcPr>
          <w:p w14:paraId="58E3FBC8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6691" w:type="dxa"/>
          </w:tcPr>
          <w:p w14:paraId="3D3F1A4C" w14:textId="77777777" w:rsidR="009A53CF" w:rsidRPr="00D16095" w:rsidRDefault="009A53CF" w:rsidP="00DD0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main 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goal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Stylistics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</w:t>
            </w:r>
            <w:r w:rsidR="00095022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core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discipline 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consists </w:t>
            </w:r>
            <w:r w:rsidR="00095022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facilitating 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students’ </w:t>
            </w:r>
            <w:r w:rsidR="00095022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understanding of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ural and cognitive features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stylistic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concepts and categories,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differentiation of speech registers, as wel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 as </w:t>
            </w:r>
            <w:r w:rsidR="00095022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different current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appro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aches to text interpretation.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As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>a branch of linguistics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, s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tylistics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 xml:space="preserve"> 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 xml:space="preserve">examines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>the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>principles and the effect of the choice and usage of various language means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>(lexical, grammatical and phonetic) to convey thoughts and emotions in different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GB" w:eastAsia="uk-UA"/>
              </w:rPr>
              <w:t>communication conditions</w:t>
            </w:r>
            <w:r w:rsidR="00234D43" w:rsidRPr="00D1609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  <w:p w14:paraId="38E0AC01" w14:textId="77777777" w:rsidR="00A96964" w:rsidRPr="00D16095" w:rsidRDefault="0070004E" w:rsidP="00DD0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</w:t>
            </w:r>
            <w:r w:rsidR="00A34E9A" w:rsidRPr="00D160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objectives</w:t>
            </w:r>
            <w:r w:rsidR="00A96964" w:rsidRPr="00D1609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14:paraId="1E336667" w14:textId="77777777" w:rsidR="0070004E" w:rsidRPr="00D16095" w:rsidRDefault="00A9696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evaluate the pl</w:t>
            </w:r>
            <w:r w:rsidR="008646ED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ace and importance of stylistics</w:t>
            </w:r>
            <w:r w:rsidR="00A34E9A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English l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anguage in the context of other philological disciplines;</w:t>
            </w:r>
          </w:p>
          <w:p w14:paraId="34EC2E33" w14:textId="77777777" w:rsidR="0070004E" w:rsidRPr="00D16095" w:rsidRDefault="00A76C8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familiarize </w:t>
            </w:r>
            <w:r w:rsidR="001C1748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="001C1748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facts</w:t>
            </w:r>
            <w:r w:rsidR="001C1748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techniques necessary for the stylis</w:t>
            </w:r>
            <w:r w:rsidR="00854BDF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 analysis of a text;</w:t>
            </w:r>
          </w:p>
          <w:p w14:paraId="63B51784" w14:textId="77777777" w:rsidR="0070004E" w:rsidRPr="00D16095" w:rsidRDefault="001C1748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interpret language phenomena of different levels of the language structure, which carry some additional information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of the emotive, </w:t>
            </w:r>
            <w:r w:rsidR="007258D4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logical or evaluative types</w:t>
            </w:r>
            <w:r w:rsidR="00854BDF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5541D9D" w14:textId="77777777" w:rsidR="0070004E" w:rsidRPr="00D16095" w:rsidRDefault="0070004E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analyse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functional roles of expressive means and stylistic devices i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various contexts;</w:t>
            </w:r>
          </w:p>
          <w:p w14:paraId="7700D0C5" w14:textId="77777777" w:rsidR="0070004E" w:rsidRPr="00D16095" w:rsidRDefault="00A76C8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students with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approaches to stylistic differen</w:t>
            </w:r>
            <w:r w:rsidR="0070004E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tiation of the English language;</w:t>
            </w:r>
          </w:p>
          <w:p w14:paraId="7556135E" w14:textId="77777777" w:rsidR="00F35F34" w:rsidRPr="00D16095" w:rsidRDefault="00A76C8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acquaint students with the importance of the right choice of language 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units of different functional styles in accordance with appropriate linguis</w:t>
            </w:r>
            <w:r w:rsidR="00F35F34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tic contexts;</w:t>
            </w:r>
          </w:p>
          <w:p w14:paraId="0231FC75" w14:textId="77777777" w:rsidR="00F35F34" w:rsidRPr="00D16095" w:rsidRDefault="00A76C8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develop students’ 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understand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 of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literary text as a multi-layer construct and an open system that requires manifold a</w:t>
            </w:r>
            <w:r w:rsidR="00F35F34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pproaches to its interpretation;</w:t>
            </w:r>
          </w:p>
          <w:p w14:paraId="52AEB8FE" w14:textId="77777777" w:rsidR="00792D1F" w:rsidRPr="00D16095" w:rsidRDefault="00A76C84" w:rsidP="00DD04D5">
            <w:pPr>
              <w:widowControl w:val="0"/>
              <w:numPr>
                <w:ilvl w:val="0"/>
                <w:numId w:val="1"/>
              </w:numPr>
              <w:tabs>
                <w:tab w:val="num" w:pos="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 students’ philological competence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applying linguostylistic and other types of analysis to the literary text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92D1F"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</w:p>
          <w:p w14:paraId="13FBD3BA" w14:textId="77777777" w:rsidR="00A96964" w:rsidRPr="00D16095" w:rsidRDefault="00A96964" w:rsidP="00095022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EF63CD2" w14:textId="77777777" w:rsidR="004E77F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the course of study students will explore the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following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themes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4E77F4" w:rsidRPr="00D16095">
              <w:rPr>
                <w:rFonts w:ascii="Times New Roman" w:hAnsi="Times New Roman" w:cs="Times New Roman"/>
                <w:sz w:val="24"/>
                <w:szCs w:val="24"/>
              </w:rPr>
              <w:t>Foundations of Stylistics, Stylistics of Structural Language Levels and Speech Registers of Stylistics.</w:t>
            </w:r>
            <w:r w:rsidR="00CB112C"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Stylistic Lexicology. Stylistic Classification of the English Vocabulary. Functional Styles in Modern English.</w:t>
            </w:r>
          </w:p>
          <w:p w14:paraId="07880B40" w14:textId="77777777" w:rsidR="00CB112C" w:rsidRPr="00D16095" w:rsidRDefault="004E77F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Stylistic Semasiology. </w:t>
            </w:r>
            <w:r w:rsidR="00CB112C" w:rsidRPr="00D16095">
              <w:rPr>
                <w:rFonts w:ascii="Times New Roman" w:hAnsi="Times New Roman" w:cs="Times New Roman"/>
                <w:sz w:val="24"/>
                <w:szCs w:val="24"/>
              </w:rPr>
              <w:t>Expressive Means and Stylistic Devices of the Phonological, Lexical and Syntactic Levels.</w:t>
            </w:r>
          </w:p>
          <w:p w14:paraId="09244A41" w14:textId="77777777" w:rsidR="004E77F4" w:rsidRPr="00D16095" w:rsidRDefault="004E77F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Text Interpretation. Basic Notions, Categories and Paradigms of Literary Text Interpretation</w:t>
            </w:r>
            <w:r w:rsidR="00CB112C" w:rsidRPr="00D16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15556" w14:textId="77777777" w:rsidR="00D16095" w:rsidRPr="00D16095" w:rsidRDefault="00D16095" w:rsidP="00D1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Дисципліна забезпечує набуття здобувачами освіти таких </w:t>
            </w:r>
            <w:r w:rsidRPr="00D16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компетентностей: </w:t>
            </w:r>
          </w:p>
          <w:p w14:paraId="7573A725" w14:textId="77777777" w:rsidR="00D16095" w:rsidRPr="00D16095" w:rsidRDefault="00D16095" w:rsidP="00D1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ЗК4</w:t>
            </w:r>
            <w:r w:rsidRPr="00D16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r w:rsidRPr="00D160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160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абстрактного</w:t>
            </w:r>
            <w:r w:rsidRPr="00D160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мислення,</w:t>
            </w:r>
            <w:r w:rsidRPr="00D16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D160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синтезу.</w:t>
            </w:r>
          </w:p>
          <w:p w14:paraId="70E02DA6" w14:textId="77777777" w:rsidR="00D16095" w:rsidRPr="00D16095" w:rsidRDefault="00D16095" w:rsidP="00D1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ЗК6.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застосовувати набуті знання в практичних ситуаціях.</w:t>
            </w:r>
          </w:p>
          <w:p w14:paraId="63443935" w14:textId="77777777" w:rsidR="00D16095" w:rsidRPr="00D16095" w:rsidRDefault="00D16095" w:rsidP="00D1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827E" w14:textId="77777777" w:rsidR="00D16095" w:rsidRPr="00D16095" w:rsidRDefault="00D16095" w:rsidP="00D16095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ФК3.</w:t>
            </w:r>
            <w:r w:rsidRPr="00D1609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Здатність використовувати на практиці професійні знання</w:t>
            </w:r>
            <w:r w:rsidRPr="00D1609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лінгвістики,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літературознавства,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педагогіки,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вікової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психології, методики навчання іноземних мов.</w:t>
            </w:r>
          </w:p>
          <w:p w14:paraId="5DC1E640" w14:textId="77777777" w:rsidR="00D16095" w:rsidRPr="00D16095" w:rsidRDefault="00D16095" w:rsidP="00D160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ФК6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. Здатність інтегровано застосовувати  знання іноземної мови (фонетичні, лексичні, граматичні, стилістичні) у широкому спектрі комунікативних ситуацій приватного, громадського, наукового і професійного життя.  </w:t>
            </w:r>
          </w:p>
          <w:p w14:paraId="72AB1437" w14:textId="77777777" w:rsidR="00D16095" w:rsidRPr="00D16095" w:rsidRDefault="00D16095" w:rsidP="00D1609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Програмні результати навчання</w:t>
            </w:r>
          </w:p>
          <w:p w14:paraId="2833828F" w14:textId="77777777" w:rsidR="00D16095" w:rsidRPr="00D16095" w:rsidRDefault="00D16095" w:rsidP="00D160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ПРН2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. Знати основні функції й закони розвитку мови як суспільного явища, різнорівневу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(системну) організацію англійської мови та її норм, особливості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використання мовних одиниць</w:t>
            </w:r>
            <w:r w:rsidRPr="00D160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у певному контексті.   </w:t>
            </w:r>
          </w:p>
          <w:p w14:paraId="5B247619" w14:textId="77777777" w:rsidR="00E15CF6" w:rsidRPr="00D16095" w:rsidRDefault="00D16095" w:rsidP="00D16095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Уточнені предметні компетентності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r w:rsidRPr="00D1609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програмні результати:</w:t>
            </w:r>
          </w:p>
          <w:p w14:paraId="20D3883B" w14:textId="77777777" w:rsidR="008646ED" w:rsidRPr="00D16095" w:rsidRDefault="00E15CF6" w:rsidP="00DD04D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Фахові компетентності</w:t>
            </w:r>
          </w:p>
          <w:p w14:paraId="6E1E0F88" w14:textId="77777777" w:rsidR="00317B2A" w:rsidRPr="00D16095" w:rsidRDefault="00317B2A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Усвідомлення </w:t>
            </w:r>
            <w:r w:rsidRPr="00D16095">
              <w:rPr>
                <w:sz w:val="24"/>
                <w:lang w:val="uk-UA"/>
              </w:rPr>
              <w:t xml:space="preserve">місця стилістики в </w:t>
            </w:r>
            <w:r w:rsidRPr="00D16095">
              <w:rPr>
                <w:sz w:val="24"/>
              </w:rPr>
              <w:t>структур</w:t>
            </w:r>
            <w:r w:rsidRPr="00D16095">
              <w:rPr>
                <w:sz w:val="24"/>
                <w:lang w:val="uk-UA"/>
              </w:rPr>
              <w:t>і</w:t>
            </w:r>
            <w:r w:rsidRPr="00D16095">
              <w:rPr>
                <w:sz w:val="24"/>
              </w:rPr>
              <w:t xml:space="preserve"> філологічної </w:t>
            </w:r>
            <w:r w:rsidRPr="00D16095">
              <w:rPr>
                <w:sz w:val="24"/>
              </w:rPr>
              <w:lastRenderedPageBreak/>
              <w:t xml:space="preserve">науки та її теоретичних основ. </w:t>
            </w:r>
          </w:p>
          <w:p w14:paraId="1246B4EB" w14:textId="77777777" w:rsidR="00317B2A" w:rsidRPr="00D16095" w:rsidRDefault="00317B2A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Здатність використовувати в професійній діяльності знання про </w:t>
            </w:r>
            <w:r w:rsidRPr="00D16095">
              <w:rPr>
                <w:sz w:val="24"/>
                <w:lang w:val="uk-UA"/>
              </w:rPr>
              <w:t>стилістичні особливості англійської мови</w:t>
            </w:r>
            <w:r w:rsidR="008E3AF5" w:rsidRPr="00D16095">
              <w:rPr>
                <w:sz w:val="24"/>
                <w:lang w:val="uk-UA"/>
              </w:rPr>
              <w:t>, у тому числі у галузі іншомовної освіти</w:t>
            </w:r>
            <w:r w:rsidRPr="00D16095">
              <w:rPr>
                <w:sz w:val="24"/>
              </w:rPr>
              <w:t xml:space="preserve">. </w:t>
            </w:r>
          </w:p>
          <w:p w14:paraId="3D974D0D" w14:textId="77777777" w:rsidR="00E15CF6" w:rsidRPr="00D16095" w:rsidRDefault="00E15CF6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Здатність інтерпретувати й зіставляти мовні та літературні явища, використовувати різні методи й методики аналізу тексту.</w:t>
            </w:r>
          </w:p>
          <w:p w14:paraId="7073AF9B" w14:textId="77777777" w:rsidR="00E15CF6" w:rsidRPr="00D16095" w:rsidRDefault="00317B2A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Здатність вільно, гнучко й ефективно використовувати </w:t>
            </w:r>
            <w:r w:rsidRPr="00D16095">
              <w:rPr>
                <w:sz w:val="24"/>
                <w:lang w:val="uk-UA"/>
              </w:rPr>
              <w:t xml:space="preserve">англійську мову </w:t>
            </w:r>
            <w:r w:rsidRPr="00D16095">
              <w:rPr>
                <w:sz w:val="24"/>
              </w:rPr>
              <w:t>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</w:t>
            </w:r>
            <w:r w:rsidR="008E3AF5" w:rsidRPr="00D16095">
              <w:rPr>
                <w:sz w:val="24"/>
                <w:lang w:val="uk-UA"/>
              </w:rPr>
              <w:t>, включаючи сферу іншомовної освіти</w:t>
            </w:r>
            <w:r w:rsidRPr="00D16095">
              <w:rPr>
                <w:sz w:val="24"/>
              </w:rPr>
              <w:t>.</w:t>
            </w:r>
          </w:p>
          <w:p w14:paraId="2124BCE1" w14:textId="77777777" w:rsidR="00317B2A" w:rsidRPr="00D16095" w:rsidRDefault="00317B2A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Здатність вільно оперувати спеціальною термінологією</w:t>
            </w:r>
            <w:r w:rsidRPr="00D16095">
              <w:rPr>
                <w:sz w:val="24"/>
                <w:lang w:val="uk-UA"/>
              </w:rPr>
              <w:t xml:space="preserve"> у галузі стилістики</w:t>
            </w:r>
            <w:r w:rsidRPr="00D16095">
              <w:rPr>
                <w:sz w:val="24"/>
              </w:rPr>
              <w:t xml:space="preserve"> для розв’язання професійних завдань. </w:t>
            </w:r>
          </w:p>
          <w:p w14:paraId="196EC90D" w14:textId="77777777" w:rsidR="00317B2A" w:rsidRPr="00D16095" w:rsidRDefault="00317B2A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Усвідомлення засад і технологій створення текстів різних жанрів і стилів </w:t>
            </w:r>
            <w:r w:rsidRPr="00D16095">
              <w:rPr>
                <w:sz w:val="24"/>
                <w:lang w:val="uk-UA"/>
              </w:rPr>
              <w:t xml:space="preserve">англійською </w:t>
            </w:r>
            <w:r w:rsidRPr="00D16095">
              <w:rPr>
                <w:sz w:val="24"/>
              </w:rPr>
              <w:t>мов</w:t>
            </w:r>
            <w:r w:rsidRPr="00D16095">
              <w:rPr>
                <w:sz w:val="24"/>
                <w:lang w:val="uk-UA"/>
              </w:rPr>
              <w:t>ою</w:t>
            </w:r>
            <w:r w:rsidRPr="00D16095">
              <w:rPr>
                <w:sz w:val="24"/>
              </w:rPr>
              <w:t xml:space="preserve">. </w:t>
            </w:r>
          </w:p>
          <w:p w14:paraId="4A23ABDF" w14:textId="77777777" w:rsidR="00317B2A" w:rsidRPr="00D16095" w:rsidRDefault="00317B2A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Здатність здійснювати </w:t>
            </w:r>
            <w:r w:rsidRPr="00D16095">
              <w:rPr>
                <w:sz w:val="24"/>
                <w:lang w:val="uk-UA"/>
              </w:rPr>
              <w:t xml:space="preserve">стилістичний </w:t>
            </w:r>
            <w:r w:rsidRPr="00D16095">
              <w:rPr>
                <w:sz w:val="24"/>
              </w:rPr>
              <w:t>аналіз текстів різних стилів і жанрів</w:t>
            </w:r>
            <w:r w:rsidRPr="00D16095">
              <w:rPr>
                <w:sz w:val="24"/>
                <w:lang w:val="uk-UA"/>
              </w:rPr>
              <w:t>.</w:t>
            </w:r>
          </w:p>
          <w:p w14:paraId="55857409" w14:textId="77777777" w:rsidR="000E6C9F" w:rsidRPr="00D16095" w:rsidRDefault="000E6C9F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  <w:lang w:val="uk-UA"/>
              </w:rPr>
              <w:t>Здатність застосовувати набуті знання зі стилістики англійської мови в процесі організації освітнього процесу у середній школі.</w:t>
            </w:r>
          </w:p>
          <w:p w14:paraId="7BC157EE" w14:textId="77777777" w:rsidR="000E6C9F" w:rsidRPr="00D16095" w:rsidRDefault="000E6C9F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  <w:lang w:val="uk-UA"/>
              </w:rPr>
              <w:t>Здатність ідентифікувати й аналізувати експресивні засоби та тропи (фонетичні, лексико-семантичні, синтаксичні) в художньому тексті та використовувати на заняттях з англійської мови як іноземної.</w:t>
            </w:r>
          </w:p>
          <w:p w14:paraId="43573D6C" w14:textId="77777777" w:rsidR="000E6C9F" w:rsidRPr="00D16095" w:rsidRDefault="000E6C9F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  <w:lang w:val="uk-UA"/>
              </w:rPr>
              <w:t>Здатність класифікувати лексичний склад англійської мови</w:t>
            </w:r>
            <w:r w:rsidR="00DD04D5" w:rsidRPr="00D16095">
              <w:rPr>
                <w:sz w:val="24"/>
                <w:lang w:val="uk-UA"/>
              </w:rPr>
              <w:t xml:space="preserve"> в розрізі стилістики.</w:t>
            </w:r>
          </w:p>
          <w:p w14:paraId="04DC2ABC" w14:textId="77777777" w:rsidR="00DD04D5" w:rsidRPr="00D16095" w:rsidRDefault="00DD04D5" w:rsidP="00DD04D5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  <w:lang w:val="uk-UA"/>
              </w:rPr>
              <w:t>Здатність інтерпретувати особливості функціональних стилів англійської мови.</w:t>
            </w:r>
          </w:p>
          <w:p w14:paraId="0D602140" w14:textId="77777777" w:rsidR="000E6C9F" w:rsidRPr="00D16095" w:rsidRDefault="000E6C9F" w:rsidP="00DD04D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E85B82" w14:textId="77777777" w:rsidR="00E15CF6" w:rsidRPr="00D16095" w:rsidRDefault="00841B3B" w:rsidP="00DD04D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Програмні р</w:t>
            </w:r>
            <w:r w:rsidR="00E15CF6"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езультати</w:t>
            </w:r>
          </w:p>
          <w:p w14:paraId="5C0B5A19" w14:textId="77777777" w:rsidR="008E3AF5" w:rsidRPr="00D16095" w:rsidRDefault="008E3AF5" w:rsidP="00DD04D5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</w:t>
            </w:r>
          </w:p>
          <w:p w14:paraId="3A8C630C" w14:textId="77777777" w:rsidR="008E3AF5" w:rsidRPr="00D16095" w:rsidRDefault="008E3AF5" w:rsidP="00DD04D5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Розуміти основні проблеми </w:t>
            </w:r>
            <w:r w:rsidRPr="00D16095">
              <w:rPr>
                <w:sz w:val="24"/>
                <w:lang w:val="uk-UA"/>
              </w:rPr>
              <w:t xml:space="preserve">стилістики у системі </w:t>
            </w:r>
            <w:r w:rsidRPr="00D16095">
              <w:rPr>
                <w:sz w:val="24"/>
              </w:rPr>
              <w:t>філологі</w:t>
            </w:r>
            <w:r w:rsidRPr="00D16095">
              <w:rPr>
                <w:sz w:val="24"/>
                <w:lang w:val="uk-UA"/>
              </w:rPr>
              <w:t>чної науки</w:t>
            </w:r>
            <w:r w:rsidRPr="00D16095">
              <w:rPr>
                <w:sz w:val="24"/>
              </w:rPr>
              <w:t xml:space="preserve"> та підходи до їх розв’язання із застосуванням доцільних методів та інноваційних підходів. </w:t>
            </w:r>
          </w:p>
          <w:p w14:paraId="36C0A7C4" w14:textId="77777777" w:rsidR="008E3AF5" w:rsidRPr="00D16095" w:rsidRDefault="008E3AF5" w:rsidP="00DD04D5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Знати й розуміти систему мови, </w:t>
            </w:r>
            <w:r w:rsidRPr="00D16095">
              <w:rPr>
                <w:sz w:val="24"/>
                <w:lang w:val="uk-UA"/>
              </w:rPr>
              <w:t xml:space="preserve">зокрема її стилістичну підструктуру, </w:t>
            </w:r>
            <w:r w:rsidRPr="00D16095">
              <w:rPr>
                <w:sz w:val="24"/>
              </w:rPr>
              <w:t xml:space="preserve">і вміти застосовувати ці знання у професійній діяльності. </w:t>
            </w:r>
          </w:p>
          <w:p w14:paraId="17F0CCF8" w14:textId="77777777" w:rsidR="008E3AF5" w:rsidRPr="00D16095" w:rsidRDefault="008E3AF5" w:rsidP="00DD04D5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Знати норми літературної мови та вміти їх застосовувати у практичній діяльності</w:t>
            </w:r>
            <w:r w:rsidRPr="00D16095">
              <w:rPr>
                <w:sz w:val="24"/>
                <w:lang w:val="uk-UA"/>
              </w:rPr>
              <w:t>, зокрема в ході викладання англійської мови як іноземної</w:t>
            </w:r>
            <w:r w:rsidRPr="00D16095">
              <w:rPr>
                <w:sz w:val="24"/>
              </w:rPr>
              <w:t xml:space="preserve">. </w:t>
            </w:r>
          </w:p>
          <w:p w14:paraId="0BF3F381" w14:textId="77777777" w:rsidR="008E3AF5" w:rsidRPr="00D16095" w:rsidRDefault="008E3AF5" w:rsidP="00DD04D5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Знати принципи, технології і прийоми створення усних і </w:t>
            </w:r>
            <w:r w:rsidRPr="00D16095">
              <w:rPr>
                <w:sz w:val="24"/>
              </w:rPr>
              <w:lastRenderedPageBreak/>
              <w:t xml:space="preserve">письмових текстів різних жанрів і стилів </w:t>
            </w:r>
            <w:r w:rsidRPr="00D16095">
              <w:rPr>
                <w:sz w:val="24"/>
                <w:lang w:val="uk-UA"/>
              </w:rPr>
              <w:t xml:space="preserve">англійською </w:t>
            </w:r>
            <w:r w:rsidRPr="00D16095">
              <w:rPr>
                <w:sz w:val="24"/>
              </w:rPr>
              <w:t>мов</w:t>
            </w:r>
            <w:r w:rsidRPr="00D16095">
              <w:rPr>
                <w:sz w:val="24"/>
                <w:lang w:val="uk-UA"/>
              </w:rPr>
              <w:t>ою</w:t>
            </w:r>
            <w:r w:rsidRPr="00D16095">
              <w:rPr>
                <w:sz w:val="24"/>
              </w:rPr>
              <w:t xml:space="preserve">. </w:t>
            </w:r>
          </w:p>
          <w:p w14:paraId="28D15230" w14:textId="77777777" w:rsidR="00FA5212" w:rsidRPr="00D16095" w:rsidRDefault="00FA5212" w:rsidP="00DD04D5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Використовувати </w:t>
            </w:r>
            <w:r w:rsidRPr="00D16095">
              <w:rPr>
                <w:sz w:val="24"/>
                <w:lang w:val="uk-UA"/>
              </w:rPr>
              <w:t xml:space="preserve">англійську мову </w:t>
            </w:r>
            <w:r w:rsidRPr="00D16095">
              <w:rPr>
                <w:sz w:val="24"/>
              </w:rPr>
              <w:t xml:space="preserve">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 </w:t>
            </w:r>
          </w:p>
          <w:p w14:paraId="014AC95E" w14:textId="77777777" w:rsidR="00CA42F2" w:rsidRPr="00D16095" w:rsidRDefault="00CA42F2" w:rsidP="00CA42F2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Аналізувати мовні одиниці</w:t>
            </w:r>
            <w:r w:rsidRPr="00D16095">
              <w:rPr>
                <w:sz w:val="24"/>
                <w:lang w:val="uk-UA"/>
              </w:rPr>
              <w:t xml:space="preserve"> з позиції стилістики</w:t>
            </w:r>
            <w:r w:rsidRPr="00D16095">
              <w:rPr>
                <w:sz w:val="24"/>
              </w:rPr>
              <w:t>, визначати їхню взаємодію та характеризувати мовні явища і процеси, що їх зумовлюють</w:t>
            </w:r>
            <w:r w:rsidRPr="00D16095">
              <w:rPr>
                <w:sz w:val="24"/>
                <w:lang w:val="uk-UA"/>
              </w:rPr>
              <w:t>.</w:t>
            </w:r>
          </w:p>
          <w:p w14:paraId="2D1BCB07" w14:textId="77777777" w:rsidR="00CA42F2" w:rsidRPr="00D16095" w:rsidRDefault="00CA42F2" w:rsidP="00CA42F2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>Знати й розуміти основні поняття, теорії та концепції</w:t>
            </w:r>
            <w:r w:rsidRPr="00D16095">
              <w:rPr>
                <w:sz w:val="24"/>
                <w:lang w:val="uk-UA"/>
              </w:rPr>
              <w:t xml:space="preserve"> стилістики англійської мови</w:t>
            </w:r>
            <w:r w:rsidRPr="00D16095">
              <w:rPr>
                <w:sz w:val="24"/>
              </w:rPr>
              <w:t xml:space="preserve">, уміти застосовувати їх у професійній діяльності. </w:t>
            </w:r>
          </w:p>
          <w:p w14:paraId="1E48A802" w14:textId="77777777" w:rsidR="00A96964" w:rsidRPr="00D16095" w:rsidRDefault="00FA5212" w:rsidP="00CA42F2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ind w:left="459" w:hanging="284"/>
              <w:jc w:val="both"/>
              <w:rPr>
                <w:sz w:val="24"/>
                <w:lang w:val="uk-UA"/>
              </w:rPr>
            </w:pPr>
            <w:r w:rsidRPr="00D16095">
              <w:rPr>
                <w:sz w:val="24"/>
              </w:rPr>
              <w:t xml:space="preserve">Здійснювати </w:t>
            </w:r>
            <w:r w:rsidRPr="00D16095">
              <w:rPr>
                <w:sz w:val="24"/>
                <w:lang w:val="uk-UA"/>
              </w:rPr>
              <w:t xml:space="preserve">стилістичний </w:t>
            </w:r>
            <w:r w:rsidRPr="00D16095">
              <w:rPr>
                <w:sz w:val="24"/>
              </w:rPr>
              <w:t xml:space="preserve">аналіз текстів різних стилів і жанрів. </w:t>
            </w:r>
          </w:p>
        </w:tc>
      </w:tr>
      <w:tr w:rsidR="00DD04D5" w:rsidRPr="00D16095" w14:paraId="1D68441F" w14:textId="77777777" w:rsidTr="00A20407">
        <w:tc>
          <w:tcPr>
            <w:tcW w:w="2802" w:type="dxa"/>
            <w:shd w:val="clear" w:color="auto" w:fill="D9D9D9" w:themeFill="background1" w:themeFillShade="D9"/>
          </w:tcPr>
          <w:p w14:paraId="226F7725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691" w:type="dxa"/>
          </w:tcPr>
          <w:p w14:paraId="293A7BCB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Assessment criteria and elements of the final grade:</w:t>
            </w:r>
          </w:p>
          <w:p w14:paraId="43ABDACF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 participation in seminar work is on a five-tiered scale (1–5) and comprises 10% of the total mark.</w:t>
            </w:r>
          </w:p>
          <w:p w14:paraId="32F61CA7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Seminar: Detailed explanation of an item, defining concepts</w:t>
            </w:r>
            <w:r w:rsidR="00D53E6B" w:rsidRPr="00D16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, </w:t>
            </w:r>
            <w:r w:rsidR="003E7FBF" w:rsidRPr="00D160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assignments</w:t>
            </w: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Evaluation of the detailed item explanation is on a five-tiered scale (1–5). The definitions of the concepts also on a five-tiered scale (1–5). </w:t>
            </w:r>
          </w:p>
          <w:p w14:paraId="26B60A43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grade for active and informed participation includes discussion (quality and qantity), attitude and attendence (you are allowed to miss two scheduled lessons over the semester). </w:t>
            </w:r>
          </w:p>
          <w:p w14:paraId="30B46CC8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evaluation of seminar tests comprises 10% of the total mark.</w:t>
            </w:r>
          </w:p>
          <w:p w14:paraId="14BDF03A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Module test evaluation over the theory of the course material</w:t>
            </w:r>
          </w:p>
          <w:p w14:paraId="55B5A40E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 20% of the total mark.</w:t>
            </w:r>
          </w:p>
          <w:p w14:paraId="346395C3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Presentation is on a five-tiered scale (1–5) and comprises 10% of the total mark. </w:t>
            </w:r>
          </w:p>
          <w:p w14:paraId="6B752A29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course culminates with an oral examination.</w:t>
            </w:r>
          </w:p>
          <w:p w14:paraId="08DF5C50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 examination comprises 50% of the final grade.</w:t>
            </w:r>
          </w:p>
          <w:p w14:paraId="7BE50E73" w14:textId="77777777" w:rsidR="00A96964" w:rsidRPr="00D16095" w:rsidRDefault="00A96964" w:rsidP="00DD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Grading scale: 0-59 fail, 60-74 pass, 75-89 good, 90-100 excellent </w:t>
            </w:r>
          </w:p>
        </w:tc>
      </w:tr>
      <w:tr w:rsidR="00DD04D5" w:rsidRPr="00D16095" w14:paraId="07D3A300" w14:textId="77777777" w:rsidTr="00A20407">
        <w:tc>
          <w:tcPr>
            <w:tcW w:w="2802" w:type="dxa"/>
            <w:shd w:val="clear" w:color="auto" w:fill="D9D9D9" w:themeFill="background1" w:themeFillShade="D9"/>
          </w:tcPr>
          <w:p w14:paraId="440A13EE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(політика дисципліни</w:t>
            </w:r>
            <w:bookmarkEnd w:id="2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  <w:p w14:paraId="51AB73EA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1" w:type="dxa"/>
          </w:tcPr>
          <w:p w14:paraId="398ACBC6" w14:textId="77777777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Students are expected to attend lectures and seminars regularly, do assigned readings, as well as contribute to the discussion of instructional material at both lectures and and seminars. </w:t>
            </w:r>
          </w:p>
          <w:p w14:paraId="1CB836C2" w14:textId="77777777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 assignements are to be completed independently (unless otherwise required). Working together for anything other than group work and/or plagiarising published research is considered cheating.</w:t>
            </w:r>
          </w:p>
          <w:p w14:paraId="6219836C" w14:textId="77777777" w:rsidR="00A96964" w:rsidRPr="00D16095" w:rsidRDefault="00A96964" w:rsidP="00D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Students who meet the  course requirements are eligible to take examination.</w:t>
            </w:r>
          </w:p>
        </w:tc>
      </w:tr>
      <w:tr w:rsidR="00DD04D5" w:rsidRPr="00D16095" w14:paraId="4736B3F9" w14:textId="77777777" w:rsidTr="00A20407">
        <w:tc>
          <w:tcPr>
            <w:tcW w:w="2802" w:type="dxa"/>
            <w:shd w:val="clear" w:color="auto" w:fill="D9D9D9" w:themeFill="background1" w:themeFillShade="D9"/>
          </w:tcPr>
          <w:p w14:paraId="5D20E587" w14:textId="77777777" w:rsidR="00A96964" w:rsidRPr="00D16095" w:rsidRDefault="00A96964" w:rsidP="00DD04D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D16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6691" w:type="dxa"/>
          </w:tcPr>
          <w:p w14:paraId="5CBB6912" w14:textId="77777777" w:rsidR="00F26B84" w:rsidRPr="00D16095" w:rsidRDefault="00F26B84" w:rsidP="00F26B84">
            <w:pPr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B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Врабель Т.Т. Lectures in Stylistics of the English language and Method Guides for Seminars (Лекції зі стилістики англійської мови та методичні вказівки для семінарів (англійською мовою)): навчально-методичний посібник / від. ред. Когут Аттіла; М-во освіти і науки України, Зак. угор. ін-т. – </w:t>
            </w:r>
            <w:r w:rsidRPr="00F26B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Ужгород: ПоліПрінт, 2010. – 140с. – ISBN 978-966-2595-03-1</w:t>
            </w:r>
          </w:p>
          <w:p w14:paraId="52126487" w14:textId="77777777" w:rsidR="00CD5579" w:rsidRPr="00D16095" w:rsidRDefault="00CD5579" w:rsidP="00DD04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Красовицька,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 Є.,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 Борисов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(2017)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</w:rPr>
              <w:t>A Manual of English Stylistics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: навч. посіб. зі стилістики англ. мови для студ. укр. мовно-літ. ф-ту імені Г. Ф. Квітки-Основ'яненка. Харк. нац. пед. ун-т імені Г. С. Сковороди. Харків: ХНПУ.</w:t>
            </w:r>
          </w:p>
          <w:p w14:paraId="26A76BE2" w14:textId="77777777" w:rsidR="00D53E6B" w:rsidRPr="00D16095" w:rsidRDefault="00D53E6B" w:rsidP="00D53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Єфімов, Л. П., Ясінецька О. А. (2004).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Стилістика англійської мови і дискурсивний аналіз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Учбово-методичний посібник. Вінниця: Нова книга.</w:t>
            </w:r>
          </w:p>
          <w:p w14:paraId="7FE27299" w14:textId="77777777" w:rsidR="00D53E6B" w:rsidRPr="00D16095" w:rsidRDefault="00D53E6B" w:rsidP="00D53E6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Kukharenko, V. A. (2000).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</w:rPr>
              <w:t>A Book of Practice in Stylistics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Vinnytsa: Nova Knyha.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D534BF2" w14:textId="77777777" w:rsidR="00D53E6B" w:rsidRPr="00D16095" w:rsidRDefault="00D53E6B" w:rsidP="00D53E6B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609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Lototska, K.Y. (2008). </w:t>
            </w:r>
            <w:r w:rsidRPr="00D16095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English Stylistics</w:t>
            </w:r>
            <w:r w:rsidRPr="00D1609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 Lviv: LNU Publishing Centre.</w:t>
            </w:r>
          </w:p>
          <w:p w14:paraId="6F956032" w14:textId="77777777" w:rsidR="00D53E6B" w:rsidRPr="00D16095" w:rsidRDefault="00D53E6B" w:rsidP="00D5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Simps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on, P. (2004).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Stylistics. A Resource Book for Students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London: Routledge. </w:t>
            </w:r>
          </w:p>
          <w:p w14:paraId="509863D6" w14:textId="77777777" w:rsidR="00BD2B6C" w:rsidRPr="00D16095" w:rsidRDefault="00BD2B6C" w:rsidP="00BD2B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Yemets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O.V.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(2014)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</w:rPr>
              <w:t>English Stylistics: Interpretation and Translation Aspects</w:t>
            </w:r>
            <w:r w:rsidRPr="00D16095">
              <w:rPr>
                <w:rFonts w:ascii="Times New Roman" w:hAnsi="Times New Roman" w:cs="Times New Roman"/>
                <w:sz w:val="24"/>
                <w:szCs w:val="24"/>
              </w:rPr>
              <w:t>. Хмельницький: ХНУ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B583CB2" w14:textId="77777777" w:rsidR="00E04F2B" w:rsidRPr="00D16095" w:rsidRDefault="00E04F2B" w:rsidP="00E04F2B">
            <w:pPr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Chorba (Levrints), M., Huszti, I., Ivancso, V. (2007). </w:t>
            </w:r>
            <w:r w:rsidRPr="00D1609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 Theory of English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Ungvar: PoliPrint.</w:t>
            </w:r>
            <w:r w:rsidRPr="00D16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216 с.</w:t>
            </w:r>
          </w:p>
          <w:p w14:paraId="131D623E" w14:textId="77777777" w:rsidR="00E04F2B" w:rsidRPr="00D16095" w:rsidRDefault="00E04F2B" w:rsidP="00E04F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Online resources can be accessed at the following link of our institution: </w:t>
            </w:r>
            <w:hyperlink r:id="rId6" w:history="1">
              <w:r w:rsidRPr="00D1609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http://okt.kmf.uz.ua/atc/oktat-atc/</w:t>
              </w:r>
            </w:hyperlink>
          </w:p>
          <w:p w14:paraId="087D3A6A" w14:textId="5AB9264B" w:rsidR="00D53E6B" w:rsidRPr="00936104" w:rsidRDefault="00E04F2B" w:rsidP="00DD04D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60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via Google classroom</w:t>
            </w:r>
          </w:p>
        </w:tc>
      </w:tr>
    </w:tbl>
    <w:p w14:paraId="18A32B88" w14:textId="77777777" w:rsidR="00A96964" w:rsidRPr="00D16095" w:rsidRDefault="00A96964" w:rsidP="00DD04D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6C9AC3D" w14:textId="77777777" w:rsidR="002B5790" w:rsidRPr="00D16095" w:rsidRDefault="002B5790" w:rsidP="00DD04D5">
      <w:pPr>
        <w:rPr>
          <w:rFonts w:ascii="Times New Roman" w:hAnsi="Times New Roman" w:cs="Times New Roman"/>
          <w:sz w:val="24"/>
          <w:szCs w:val="24"/>
        </w:rPr>
      </w:pPr>
    </w:p>
    <w:sectPr w:rsidR="002B5790" w:rsidRPr="00D160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FE9"/>
    <w:multiLevelType w:val="hybridMultilevel"/>
    <w:tmpl w:val="FB24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4E3F"/>
    <w:multiLevelType w:val="hybridMultilevel"/>
    <w:tmpl w:val="39B0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A44BB"/>
    <w:multiLevelType w:val="hybridMultilevel"/>
    <w:tmpl w:val="EE3E8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1F306B"/>
    <w:multiLevelType w:val="hybridMultilevel"/>
    <w:tmpl w:val="80C6A84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CF22A8"/>
    <w:multiLevelType w:val="hybridMultilevel"/>
    <w:tmpl w:val="07942C84"/>
    <w:lvl w:ilvl="0" w:tplc="6A3ACE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95A40E8"/>
    <w:multiLevelType w:val="hybridMultilevel"/>
    <w:tmpl w:val="DB1EA938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83320">
    <w:abstractNumId w:val="3"/>
  </w:num>
  <w:num w:numId="2" w16cid:durableId="1052189142">
    <w:abstractNumId w:val="5"/>
  </w:num>
  <w:num w:numId="3" w16cid:durableId="1101798788">
    <w:abstractNumId w:val="4"/>
  </w:num>
  <w:num w:numId="4" w16cid:durableId="1052146348">
    <w:abstractNumId w:val="0"/>
  </w:num>
  <w:num w:numId="5" w16cid:durableId="1960069730">
    <w:abstractNumId w:val="1"/>
  </w:num>
  <w:num w:numId="6" w16cid:durableId="23208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964"/>
    <w:rsid w:val="00095022"/>
    <w:rsid w:val="000E6C9F"/>
    <w:rsid w:val="001C1748"/>
    <w:rsid w:val="00234D43"/>
    <w:rsid w:val="002B5790"/>
    <w:rsid w:val="00317B2A"/>
    <w:rsid w:val="003E7FBF"/>
    <w:rsid w:val="004E77F4"/>
    <w:rsid w:val="00506DEC"/>
    <w:rsid w:val="0070004E"/>
    <w:rsid w:val="007258D4"/>
    <w:rsid w:val="00792D1F"/>
    <w:rsid w:val="0082407F"/>
    <w:rsid w:val="00841B3B"/>
    <w:rsid w:val="00854BDF"/>
    <w:rsid w:val="008646ED"/>
    <w:rsid w:val="008E3AF5"/>
    <w:rsid w:val="00936104"/>
    <w:rsid w:val="00963783"/>
    <w:rsid w:val="00992DC8"/>
    <w:rsid w:val="009A53CF"/>
    <w:rsid w:val="00A34E9A"/>
    <w:rsid w:val="00A76C84"/>
    <w:rsid w:val="00A96964"/>
    <w:rsid w:val="00BD2B6C"/>
    <w:rsid w:val="00C42985"/>
    <w:rsid w:val="00CA42F2"/>
    <w:rsid w:val="00CB112C"/>
    <w:rsid w:val="00CD5579"/>
    <w:rsid w:val="00D16095"/>
    <w:rsid w:val="00D53E6B"/>
    <w:rsid w:val="00D6230C"/>
    <w:rsid w:val="00DD04D5"/>
    <w:rsid w:val="00DF7354"/>
    <w:rsid w:val="00E04F2B"/>
    <w:rsid w:val="00E15CF6"/>
    <w:rsid w:val="00EE43C6"/>
    <w:rsid w:val="00F26B84"/>
    <w:rsid w:val="00F35F34"/>
    <w:rsid w:val="00F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727A"/>
  <w15:docId w15:val="{81EDD41E-B66D-4974-80A8-59A6422C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64"/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2">
    <w:name w:val="heading 2"/>
    <w:basedOn w:val="a"/>
    <w:next w:val="a"/>
    <w:link w:val="20"/>
    <w:qFormat/>
    <w:rsid w:val="00EE43C6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sz w:val="24"/>
      <w:szCs w:val="24"/>
      <w:lang w:val="uk-UA" w:eastAsia="x-none"/>
    </w:rPr>
  </w:style>
  <w:style w:type="paragraph" w:styleId="6">
    <w:name w:val="heading 6"/>
    <w:basedOn w:val="a"/>
    <w:next w:val="a"/>
    <w:link w:val="60"/>
    <w:qFormat/>
    <w:rsid w:val="004E77F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E43C6"/>
    <w:rPr>
      <w:rFonts w:ascii="Times New Roman" w:hAnsi="Times New Roman"/>
      <w:sz w:val="24"/>
      <w:szCs w:val="24"/>
      <w:lang w:val="uk-UA" w:eastAsia="x-none"/>
    </w:rPr>
  </w:style>
  <w:style w:type="paragraph" w:styleId="a3">
    <w:name w:val="Title"/>
    <w:basedOn w:val="a"/>
    <w:link w:val="a4"/>
    <w:qFormat/>
    <w:rsid w:val="00EE43C6"/>
    <w:pPr>
      <w:autoSpaceDE w:val="0"/>
      <w:autoSpaceDN w:val="0"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character" w:customStyle="1" w:styleId="a4">
    <w:name w:val="Назва Знак"/>
    <w:link w:val="a3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a5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a6">
    <w:name w:val="List Paragraph"/>
    <w:basedOn w:val="a"/>
    <w:link w:val="a7"/>
    <w:uiPriority w:val="34"/>
    <w:qFormat/>
    <w:rsid w:val="00EE43C6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Абзац списку Знак"/>
    <w:link w:val="a6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table" w:styleId="a8">
    <w:name w:val="Table Grid"/>
    <w:basedOn w:val="a1"/>
    <w:uiPriority w:val="39"/>
    <w:rsid w:val="00A96964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A96964"/>
  </w:style>
  <w:style w:type="character" w:styleId="a9">
    <w:name w:val="Hyperlink"/>
    <w:basedOn w:val="a0"/>
    <w:uiPriority w:val="99"/>
    <w:unhideWhenUsed/>
    <w:rsid w:val="00A96964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9A53CF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9A53CF"/>
    <w:rPr>
      <w:rFonts w:ascii="Times New Roman" w:hAnsi="Times New Roman"/>
      <w:sz w:val="2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4E77F4"/>
    <w:rPr>
      <w:rFonts w:ascii="Times New Roman" w:hAnsi="Times New Roman"/>
      <w:b/>
      <w:bCs/>
      <w:sz w:val="22"/>
      <w:szCs w:val="22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CB112C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CB112C"/>
    <w:rPr>
      <w:rFonts w:asciiTheme="minorHAnsi" w:eastAsiaTheme="minorHAnsi" w:hAnsiTheme="minorHAnsi" w:cstheme="minorBidi"/>
      <w:sz w:val="22"/>
      <w:szCs w:val="22"/>
      <w:lang w:val="hu-HU"/>
    </w:rPr>
  </w:style>
  <w:style w:type="paragraph" w:customStyle="1" w:styleId="TableParagraph">
    <w:name w:val="Table Paragraph"/>
    <w:basedOn w:val="a"/>
    <w:uiPriority w:val="1"/>
    <w:qFormat/>
    <w:rsid w:val="00D16095"/>
    <w:pPr>
      <w:widowControl w:val="0"/>
      <w:autoSpaceDE w:val="0"/>
      <w:autoSpaceDN w:val="0"/>
      <w:ind w:left="55"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D1609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.kmf.uz.ua/atc/oktat-atc/" TargetMode="External"/><Relationship Id="rId5" Type="http://schemas.openxmlformats.org/officeDocument/2006/relationships/hyperlink" Target="mailto:vrabely.tamash@kmf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Vrabel Tomash</cp:lastModifiedBy>
  <cp:revision>39</cp:revision>
  <dcterms:created xsi:type="dcterms:W3CDTF">2021-02-24T06:01:00Z</dcterms:created>
  <dcterms:modified xsi:type="dcterms:W3CDTF">2022-11-06T16:44:00Z</dcterms:modified>
</cp:coreProperties>
</file>