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4" w:rsidRDefault="00306714" w:rsidP="00C052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06714" w:rsidTr="00306714">
        <w:trPr>
          <w:trHeight w:val="6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of the course unit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time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306714" w:rsidRDefault="0030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</w:p>
        </w:tc>
      </w:tr>
    </w:tbl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06714" w:rsidRDefault="00306714" w:rsidP="0030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10240F" w:rsidP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 course “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terpretation of a Literary text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Textual analysis of Shakespeare’s tragedy “Hamlet”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“Humanities”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(e.g. core,   elective),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 w:rsidR="0091745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4</w:t>
            </w:r>
          </w:p>
          <w:p w:rsidR="00306714" w:rsidRDefault="0091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0671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 centered and interactive)</w:t>
            </w:r>
          </w:p>
          <w:p w:rsidR="00306714" w:rsidRDefault="0091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</w:p>
          <w:p w:rsidR="00306714" w:rsidRDefault="0091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study: 102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coordinator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Lecturer(s)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Assistant(s)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(Name, surname, Academic degree and rank,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28" w:rsidRPr="00924228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Горенко, Доктор філологічних наук, доцент</w:t>
            </w:r>
          </w:p>
          <w:p w:rsidR="00306714" w:rsidRDefault="0092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Gorenko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14">
              <w:rPr>
                <w:rFonts w:ascii="Times New Roman" w:hAnsi="Times New Roman" w:cs="Times New Roman"/>
                <w:sz w:val="24"/>
                <w:szCs w:val="24"/>
              </w:rPr>
              <w:t xml:space="preserve">Doctor of Philology, Associate professor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Email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gorenkoelena57@gmail.com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Prerequisites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Objectives, Content, Learning outcomes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Kiemels2"/>
                <w:sz w:val="24"/>
                <w:szCs w:val="24"/>
              </w:rPr>
              <w:t>Main topics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102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introduces general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methods of Literary studies, focusing attenti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on structural method as an important</w:t>
            </w:r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instrument in decoding Shakespeare’s tragedy “Hamlet”. The course is propaedeutic to the application of Postmodern techniques of analysis in the process of studying contemporary American and British literature</w:t>
            </w:r>
            <w:proofErr w:type="gramStart"/>
            <w:r w:rsidR="00306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 main objectives are to: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enhance students’ competence in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odern Criticism to a degree </w:t>
            </w:r>
            <w:r w:rsidR="007C5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will enable them to analyz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works of  British and American literature;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enrich the paradigm of literary research in national Philological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enlarge students’ abilities to apply methods and techniques of Structural and Post-structural analyses, Semiotics and Intertextual studies;</w:t>
            </w:r>
          </w:p>
          <w:p w:rsidR="00306714" w:rsidRDefault="00306714" w:rsidP="001C0768">
            <w:pPr>
              <w:pStyle w:val="Listaszerbekezds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 skills of using professionally-oriented terminology for the needs of scientific research. This includes the ability </w:t>
            </w:r>
            <w:r w:rsidR="00DF7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annotations, reviews, articles for the purpose of scientific information exchange;</w:t>
            </w:r>
          </w:p>
          <w:p w:rsidR="00306714" w:rsidRDefault="00306714" w:rsidP="001C076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stude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 w:rsidR="0067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  <w:r w:rsidR="00EE0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 of Literary Criticism and to enable them to discuss theoretical problems within the   range of  their professional needs.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 analytical and critical thinking skills.</w:t>
            </w:r>
          </w:p>
          <w:p w:rsidR="00306714" w:rsidRDefault="00306714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29D1" w:rsidRPr="00D129D1" w:rsidRDefault="00D129D1" w:rsidP="00D1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</w:t>
            </w:r>
          </w:p>
          <w:p w:rsidR="00D129D1" w:rsidRPr="00D129D1" w:rsidRDefault="00D129D1" w:rsidP="00D129D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ЗК4</w:t>
            </w:r>
            <w:r w:rsidRPr="00D129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Уміння виявляти, ставити та вирішувати проблеми. </w:t>
            </w:r>
          </w:p>
          <w:p w:rsidR="00D129D1" w:rsidRPr="00D129D1" w:rsidRDefault="00D129D1" w:rsidP="00D129D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ЗК6</w:t>
            </w:r>
            <w:r w:rsidRPr="00D129D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спілкуватися іноземною мовою.</w:t>
            </w:r>
          </w:p>
          <w:p w:rsidR="00D129D1" w:rsidRPr="00D129D1" w:rsidRDefault="00D129D1" w:rsidP="00D129D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ЗК7.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до абстрактного мислення, аналізу та синтезу. </w:t>
            </w:r>
          </w:p>
          <w:p w:rsidR="00D129D1" w:rsidRPr="00D129D1" w:rsidRDefault="00D129D1" w:rsidP="00D129D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ЗК12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генерувати нові ідеї (креативність).  </w:t>
            </w:r>
          </w:p>
          <w:p w:rsidR="00D129D1" w:rsidRPr="00D129D1" w:rsidRDefault="00D129D1" w:rsidP="00D129D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29D1" w:rsidRPr="00D129D1" w:rsidRDefault="00D129D1" w:rsidP="00D1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Фахові компетентності</w:t>
            </w:r>
          </w:p>
          <w:p w:rsidR="00D129D1" w:rsidRPr="00D129D1" w:rsidRDefault="00D129D1" w:rsidP="00D1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ФК1.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вільно орієнтуватися в різних лінгвістичних напрямах і школах.  </w:t>
            </w:r>
          </w:p>
          <w:p w:rsidR="00D129D1" w:rsidRPr="00D129D1" w:rsidRDefault="00D129D1" w:rsidP="00D129D1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29D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ФК2</w:t>
            </w:r>
            <w:r w:rsidRPr="00D129D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осмислювати літературу як полісистему, розуміти еволюційний шлях розвитку вітчизняного і світового літературознавства.  </w:t>
            </w:r>
          </w:p>
          <w:p w:rsidR="00D129D1" w:rsidRPr="00D129D1" w:rsidRDefault="00D129D1" w:rsidP="00D129D1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ФК4.</w:t>
            </w:r>
            <w:r w:rsidRPr="00D1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здійснювати науковий аналіз і структурування мовного/мовленнєвого й літературного матеріалу з урахуванням класичних і новітніх методологічних принципів.</w:t>
            </w:r>
          </w:p>
          <w:p w:rsidR="00D129D1" w:rsidRPr="00D129D1" w:rsidRDefault="00D129D1" w:rsidP="00D129D1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ФК6.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застосовувати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поглиблені знання з лінгвістики, прекладознавства, методики викладання іноземних мов та літератури в професійній діяльності. </w:t>
            </w:r>
          </w:p>
          <w:p w:rsidR="00D129D1" w:rsidRPr="00D129D1" w:rsidRDefault="00D129D1" w:rsidP="00D129D1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ФК7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Здатність вільно користуватися спеціальною термінологією в обраній сфері філологічних досліджень, в перекладацькій і викладацькій діяльності.</w:t>
            </w:r>
          </w:p>
          <w:p w:rsidR="00D129D1" w:rsidRPr="00D129D1" w:rsidRDefault="00D129D1" w:rsidP="00D1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129D1" w:rsidRPr="00D129D1" w:rsidRDefault="00D129D1" w:rsidP="00D1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Програмні результати навчання</w:t>
            </w:r>
          </w:p>
          <w:p w:rsidR="00D129D1" w:rsidRPr="00D129D1" w:rsidRDefault="00D129D1" w:rsidP="00D129D1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ПРН3.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Застосовувати</w:t>
            </w:r>
            <w:r w:rsidRPr="00D129D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 w:rsidRPr="00D129D1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методики</w:t>
            </w:r>
            <w:r w:rsidRPr="00D129D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29D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технології,</w:t>
            </w:r>
            <w:r w:rsidRPr="00D129D1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зокрема</w:t>
            </w:r>
            <w:r w:rsidRPr="00D129D1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інформаційні, для</w:t>
            </w:r>
            <w:r w:rsidRPr="00D129D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успішного</w:t>
            </w:r>
            <w:r w:rsidRPr="00D129D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D12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ефективного</w:t>
            </w:r>
            <w:r w:rsidRPr="00D12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</w:t>
            </w:r>
            <w:r w:rsidRPr="00D12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професійної</w:t>
            </w:r>
            <w:r w:rsidRPr="00D12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Pr="00D12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129D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якості дослідження</w:t>
            </w:r>
            <w:r w:rsidRPr="00D129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129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германської філології.</w:t>
            </w:r>
          </w:p>
          <w:p w:rsidR="00D129D1" w:rsidRPr="00D129D1" w:rsidRDefault="00D129D1" w:rsidP="00D129D1">
            <w:pPr>
              <w:widowControl w:val="0"/>
              <w:autoSpaceDE w:val="0"/>
              <w:autoSpaceDN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Аналізувати, порівнювати і класифікувати різні напрями і школи в лінгвістиці.  </w:t>
            </w:r>
          </w:p>
          <w:p w:rsidR="00D129D1" w:rsidRPr="00D129D1" w:rsidRDefault="00D129D1" w:rsidP="00D12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ПРН</w:t>
            </w: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Pr="00D1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Оцінювати історичні надбання та новітні досягнення літературознавства.</w:t>
            </w:r>
          </w:p>
          <w:p w:rsidR="00D129D1" w:rsidRPr="00D129D1" w:rsidRDefault="00D129D1" w:rsidP="00D129D1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Характеризувати</w:t>
            </w:r>
            <w:r w:rsidRPr="00D129D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теоретичні</w:t>
            </w:r>
            <w:r w:rsidRPr="00D129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засади</w:t>
            </w:r>
            <w:r w:rsidRPr="00D129D1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(концепції,</w:t>
            </w:r>
            <w:r w:rsidRPr="00D129D1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категорії,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принципи,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D129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</w:t>
            </w:r>
            <w:r w:rsidRPr="00D129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тощо)</w:t>
            </w:r>
            <w:r w:rsidRPr="00D129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129D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прикладні</w:t>
            </w:r>
            <w:r w:rsidRPr="00D129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аспекти в</w:t>
            </w:r>
            <w:r w:rsidRPr="00D129D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перекладознавстві</w:t>
            </w:r>
            <w:r w:rsidRPr="00D129D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  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германській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філології.</w:t>
            </w:r>
          </w:p>
          <w:p w:rsidR="00D129D1" w:rsidRPr="00D129D1" w:rsidRDefault="00D129D1" w:rsidP="00D129D1">
            <w:pPr>
              <w:widowControl w:val="0"/>
              <w:tabs>
                <w:tab w:val="left" w:pos="1511"/>
                <w:tab w:val="left" w:pos="3411"/>
                <w:tab w:val="left" w:pos="3858"/>
                <w:tab w:val="left" w:pos="5682"/>
                <w:tab w:val="left" w:pos="6402"/>
                <w:tab w:val="left" w:pos="6719"/>
              </w:tabs>
              <w:autoSpaceDE w:val="0"/>
              <w:autoSpaceDN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ПРН</w:t>
            </w:r>
            <w:r w:rsidRPr="00D12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Здійснювати</w:t>
            </w:r>
            <w:r w:rsidRPr="00D129D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науковий</w:t>
            </w:r>
            <w:r w:rsidRPr="00D129D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</w:t>
            </w:r>
            <w:r w:rsidRPr="00D129D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мовного,</w:t>
            </w:r>
            <w:r w:rsidRPr="00D129D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мовленнєвого</w:t>
            </w:r>
            <w:r w:rsidRPr="00D129D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D129D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літературного</w:t>
            </w:r>
            <w:r w:rsidRPr="00D129D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       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 інтерпретувати та структурувати його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з </w:t>
            </w:r>
            <w:r w:rsidRPr="00D12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урахуванням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доцільних</w:t>
            </w:r>
            <w:r w:rsidRPr="00D129D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методологічних</w:t>
            </w:r>
            <w:r w:rsidRPr="00D129D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принципів,</w:t>
            </w:r>
            <w:r w:rsidRPr="00D129D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формулювати</w:t>
            </w:r>
            <w:r w:rsidRPr="00D129D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Pr="00D129D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D129D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        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D129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D129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даних.</w:t>
            </w:r>
          </w:p>
          <w:p w:rsidR="00D129D1" w:rsidRPr="00D129D1" w:rsidRDefault="00D129D1" w:rsidP="00D129D1">
            <w:pPr>
              <w:widowControl w:val="0"/>
              <w:autoSpaceDE w:val="0"/>
              <w:autoSpaceDN w:val="0"/>
              <w:spacing w:after="0" w:line="28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ПРН</w:t>
            </w: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15.</w:t>
            </w: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Обирати</w:t>
            </w:r>
            <w:r w:rsidRPr="00D129D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оптимальні</w:t>
            </w:r>
            <w:r w:rsidRPr="00D129D1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дослідницькі</w:t>
            </w:r>
            <w:r w:rsidRPr="00D129D1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підходи</w:t>
            </w:r>
            <w:r w:rsidRPr="00D129D1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D129D1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</w:t>
            </w:r>
            <w:r w:rsidRPr="00D129D1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D129D1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аналізу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конкретного</w:t>
            </w:r>
            <w:r w:rsidRPr="00D129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лінгвістичного</w:t>
            </w:r>
            <w:r w:rsidRPr="00D129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</w:t>
            </w:r>
            <w:r w:rsidRPr="00D129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літературного</w:t>
            </w:r>
            <w:r w:rsidRPr="00D129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матеріалу.</w:t>
            </w:r>
          </w:p>
          <w:p w:rsidR="00D129D1" w:rsidRPr="00D129D1" w:rsidRDefault="00D129D1" w:rsidP="00D129D1">
            <w:pPr>
              <w:widowControl w:val="0"/>
              <w:autoSpaceDE w:val="0"/>
              <w:autoSpaceDN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ПРН</w:t>
            </w:r>
            <w:r w:rsidRPr="00D129D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16.</w:t>
            </w:r>
            <w:r w:rsidRPr="00D12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Використовувати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спеціалізовані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концептуальні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обраної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філологічної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розв’язання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складних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задач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проблем,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D12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потребує</w:t>
            </w:r>
            <w:r w:rsidRPr="00D129D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Pr="00D129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129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інтеграції</w:t>
            </w:r>
            <w:r w:rsidRPr="00D129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знань,</w:t>
            </w:r>
            <w:r w:rsidRPr="00D129D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часто</w:t>
            </w:r>
            <w:r w:rsidRPr="00D129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129D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умовах неповної/недостатньої</w:t>
            </w:r>
            <w:r w:rsidRPr="00D129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 w:rsidRPr="00D12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D129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суперечливих</w:t>
            </w:r>
            <w:r w:rsidRPr="00D129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D129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вимог.</w:t>
            </w:r>
          </w:p>
          <w:p w:rsidR="00D129D1" w:rsidRPr="00D129D1" w:rsidRDefault="00D129D1" w:rsidP="00D1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C0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-develop an active grasp of the terminology associated with the     topics outlined by the Special course;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form the habit of attentive and detailed analysis of both –the text and works of literary criticism;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-comprehend deeper the contemporary processes in Ukrainian and other national literatures;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-create theoretical basis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authoritative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legitimate interpretation of any literary text;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-apply the knowledge of different theoretical techniques and approaches  in order to be able to analyse literary texts;</w:t>
            </w:r>
          </w:p>
          <w:p w:rsidR="00306714" w:rsidRDefault="00306714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C05297" w:rsidRDefault="00C05297" w:rsidP="001C076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Literary Studies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Theoretical methods and their application</w:t>
            </w:r>
          </w:p>
          <w:p w:rsidR="00672A31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Introduction to Postmodern Criticism</w:t>
            </w:r>
            <w:r w:rsidR="00672A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</w:rPr>
              <w:t>tual and Post structural analyses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Historical discourse of the tragedy </w:t>
            </w:r>
          </w:p>
          <w:p w:rsidR="00C05297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Seminars: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Winged phrases as  cultural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Solyloquies and phrases aside as psychological codes</w:t>
            </w:r>
          </w:p>
          <w:p w:rsidR="00C05297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Puns and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play of words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as intellectual 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codes</w:t>
            </w:r>
          </w:p>
          <w:p w:rsidR="00306714" w:rsidRDefault="00C05297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Repetitions as </w:t>
            </w:r>
            <w:r w:rsidR="003067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emotional codes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 of Hamlet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Decoding the character of 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Claudius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Polonius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charscters of Rozencrenz and Gildenstern</w:t>
            </w:r>
          </w:p>
          <w:p w:rsidR="00306714" w:rsidRDefault="00306714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Gertrude</w:t>
            </w:r>
            <w:r w:rsidR="00C0529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Ophelia</w:t>
            </w:r>
          </w:p>
          <w:p w:rsidR="00672A31" w:rsidRDefault="00672A31" w:rsidP="001C0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Decoding the character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Laertes</w:t>
            </w:r>
            <w:r w:rsidR="009242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Horatio</w:t>
            </w:r>
          </w:p>
          <w:p w:rsidR="00672A31" w:rsidRDefault="00924228" w:rsidP="0092422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 test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Methods of Assessment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 of final grade: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 comprises 10%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Module test evaluation over the theory of the course material.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will be completed with an oral exam.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The exam comprises 50% of the final grade </w:t>
            </w:r>
          </w:p>
          <w:p w:rsidR="00306714" w:rsidRDefault="0030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Policy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who meet the  course requiremnts will sit the exam during January examination session.</w:t>
            </w:r>
          </w:p>
        </w:tc>
      </w:tr>
      <w:tr w:rsidR="00306714" w:rsidTr="003067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14" w:rsidRDefault="00306714">
            <w:pPr>
              <w:spacing w:after="0" w:line="240" w:lineRule="auto"/>
              <w:rPr>
                <w:lang w:val="uk-UA"/>
              </w:rPr>
            </w:pP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W. Shakespeare Hamlet / The Complete works/ 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 of the Shakespeare Head Press, Oxford; Dorset press. N.Y., 1988</w:t>
            </w:r>
            <w:proofErr w:type="gramStart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1263 p. </w:t>
            </w:r>
          </w:p>
          <w:p w:rsidR="00306714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7768">
              <w:rPr>
                <w:rFonts w:ascii="Times New Roman" w:hAnsi="Times New Roman" w:cs="Times New Roman"/>
                <w:sz w:val="24"/>
                <w:szCs w:val="24"/>
              </w:rPr>
              <w:t>Антолог</w:t>
            </w:r>
            <w:proofErr w:type="spellEnd"/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ія світової літературно-критичної думки ХХ ст./ за редакцією М.Зубрицької 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Літопис, 2002, -882</w:t>
            </w:r>
            <w:r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</w:p>
          <w:p w:rsidR="008D7768" w:rsidRPr="008D7768" w:rsidRDefault="00306714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Bradley A.C.  Shakespearean Tragedy/ McMillan &amp; Co, ltd –L., Madrid, N.Y., - 2005, -450 p.</w:t>
            </w:r>
          </w:p>
          <w:p w:rsidR="008D7768" w:rsidRPr="008D7768" w:rsidRDefault="008D77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 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Ролан Барт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S/Z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М.,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Ad </w:t>
            </w:r>
            <w:proofErr w:type="spellStart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Marginem</w:t>
            </w:r>
            <w:proofErr w:type="spellEnd"/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1994</w:t>
            </w:r>
            <w:r w:rsidR="00306714" w:rsidRPr="008D77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,303 c.</w:t>
            </w:r>
          </w:p>
          <w:p w:rsidR="00406668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lang w:val="uk-UA"/>
              </w:rPr>
            </w:pPr>
            <w:r w:rsidRPr="008D7768">
              <w:rPr>
                <w:rFonts w:ascii="Times New Roman" w:hAnsi="Times New Roman" w:cs="Times New Roman"/>
                <w:lang w:val="uk-UA"/>
              </w:rPr>
              <w:t>5.</w:t>
            </w:r>
            <w:r w:rsidR="008D7768" w:rsidRPr="008D776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776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924228" w:rsidRPr="008D7768">
              <w:rPr>
                <w:rFonts w:ascii="Times New Roman" w:hAnsi="Times New Roman" w:cs="Times New Roman"/>
                <w:lang w:val="en-GB"/>
              </w:rPr>
              <w:t xml:space="preserve">Umberto Eco The Role of the Reader./ Explorations in </w:t>
            </w:r>
          </w:p>
          <w:p w:rsidR="00547543" w:rsidRPr="00547543" w:rsidRDefault="00406668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547543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924228" w:rsidRPr="00547543">
              <w:rPr>
                <w:rFonts w:ascii="Times New Roman" w:hAnsi="Times New Roman" w:cs="Times New Roman"/>
                <w:lang w:val="en-GB"/>
              </w:rPr>
              <w:t>Semiotics of the Texts –Milan, 1979</w:t>
            </w:r>
            <w:r w:rsidR="00924228" w:rsidRPr="0054754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47543" w:rsidRDefault="007B5C9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  <w:r w:rsidR="00547543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47543">
              <w:rPr>
                <w:rFonts w:ascii="Times New Roman" w:hAnsi="Times New Roman" w:cs="Times New Roman"/>
                <w:sz w:val="24"/>
              </w:rPr>
              <w:t xml:space="preserve">Isaak Asimov  Asimov’s guide to Shakespeare / Ch.28 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>The tragedy of Hamlet Prince of Denmark // vol II.,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7.  </w:t>
            </w:r>
            <w:r w:rsidR="007B5C93" w:rsidRPr="00547543">
              <w:rPr>
                <w:rFonts w:ascii="Times New Roman" w:hAnsi="Times New Roman" w:cs="Times New Roman"/>
                <w:sz w:val="24"/>
              </w:rPr>
              <w:t xml:space="preserve"> The English plays., Wings books –New York –P77-149</w:t>
            </w:r>
            <w:r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8D7768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>Горенко Олена Антропонімічна варіативність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імені Гертруда у романі Дж.Апдайка «Гертруда</w:t>
            </w:r>
          </w:p>
          <w:p w:rsidR="00547543" w:rsidRDefault="00547543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і Клавдій/Антропонімічній вимір</w:t>
            </w:r>
          </w:p>
          <w:p w:rsidR="007B5C93" w:rsidRPr="007249B7" w:rsidRDefault="00BF4AA6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</w:t>
            </w:r>
            <w:r w:rsidR="007B5C93" w:rsidRPr="00547543">
              <w:rPr>
                <w:rFonts w:ascii="Times New Roman" w:hAnsi="Times New Roman" w:cs="Times New Roman"/>
                <w:sz w:val="24"/>
                <w:lang w:val="uk-UA"/>
              </w:rPr>
              <w:t xml:space="preserve"> постмодерної літератури/ монографія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 Берегове -2020</w:t>
            </w:r>
          </w:p>
          <w:p w:rsidR="007249B7" w:rsidRPr="007249B7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9. A.D. Nuttall. Hamlet: Conversations with the dead/ Proceedings of the British Academy, LXXIV, 1988, 53-56</w:t>
            </w:r>
          </w:p>
          <w:p w:rsidR="007249B7" w:rsidRPr="00547543" w:rsidRDefault="007249B7" w:rsidP="008D7768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7B5C93" w:rsidRDefault="007B5C93" w:rsidP="007B5C93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</w:p>
          <w:p w:rsidR="007B5C93" w:rsidRPr="007B5C93" w:rsidRDefault="007B5C93" w:rsidP="007B5C93">
            <w:pPr>
              <w:spacing w:after="0" w:line="240" w:lineRule="auto"/>
              <w:ind w:left="60"/>
              <w:rPr>
                <w:lang w:val="uk-UA"/>
              </w:rPr>
            </w:pPr>
          </w:p>
          <w:p w:rsidR="00306714" w:rsidRDefault="0030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14" w:rsidRDefault="00306714" w:rsidP="00306714">
      <w:pPr>
        <w:rPr>
          <w:rFonts w:ascii="Times New Roman" w:hAnsi="Times New Roman" w:cs="Times New Roman"/>
          <w:sz w:val="24"/>
          <w:szCs w:val="24"/>
        </w:rPr>
      </w:pPr>
    </w:p>
    <w:p w:rsidR="0073545E" w:rsidRPr="007249B7" w:rsidRDefault="0073545E">
      <w:pPr>
        <w:rPr>
          <w:lang w:val="en-GB"/>
        </w:rPr>
      </w:pPr>
    </w:p>
    <w:sectPr w:rsidR="0073545E" w:rsidRPr="00724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85F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BF6"/>
    <w:multiLevelType w:val="hybridMultilevel"/>
    <w:tmpl w:val="AFF02C40"/>
    <w:lvl w:ilvl="0" w:tplc="728CF7A2">
      <w:start w:val="1"/>
      <w:numFmt w:val="decimal"/>
      <w:lvlText w:val="%1."/>
      <w:lvlJc w:val="left"/>
      <w:pPr>
        <w:ind w:left="420" w:hanging="360"/>
      </w:pPr>
    </w:lvl>
    <w:lvl w:ilvl="1" w:tplc="04070019">
      <w:start w:val="1"/>
      <w:numFmt w:val="lowerLetter"/>
      <w:lvlText w:val="%2."/>
      <w:lvlJc w:val="left"/>
      <w:pPr>
        <w:ind w:left="1140" w:hanging="360"/>
      </w:p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>
      <w:start w:val="1"/>
      <w:numFmt w:val="decimal"/>
      <w:lvlText w:val="%4."/>
      <w:lvlJc w:val="left"/>
      <w:pPr>
        <w:ind w:left="2580" w:hanging="360"/>
      </w:pPr>
    </w:lvl>
    <w:lvl w:ilvl="4" w:tplc="04070019">
      <w:start w:val="1"/>
      <w:numFmt w:val="lowerLetter"/>
      <w:lvlText w:val="%5."/>
      <w:lvlJc w:val="left"/>
      <w:pPr>
        <w:ind w:left="3300" w:hanging="360"/>
      </w:pPr>
    </w:lvl>
    <w:lvl w:ilvl="5" w:tplc="0407001B">
      <w:start w:val="1"/>
      <w:numFmt w:val="lowerRoman"/>
      <w:lvlText w:val="%6."/>
      <w:lvlJc w:val="right"/>
      <w:pPr>
        <w:ind w:left="4020" w:hanging="180"/>
      </w:pPr>
    </w:lvl>
    <w:lvl w:ilvl="6" w:tplc="0407000F">
      <w:start w:val="1"/>
      <w:numFmt w:val="decimal"/>
      <w:lvlText w:val="%7."/>
      <w:lvlJc w:val="left"/>
      <w:pPr>
        <w:ind w:left="4740" w:hanging="360"/>
      </w:pPr>
    </w:lvl>
    <w:lvl w:ilvl="7" w:tplc="04070019">
      <w:start w:val="1"/>
      <w:numFmt w:val="lowerLetter"/>
      <w:lvlText w:val="%8."/>
      <w:lvlJc w:val="left"/>
      <w:pPr>
        <w:ind w:left="5460" w:hanging="360"/>
      </w:pPr>
    </w:lvl>
    <w:lvl w:ilvl="8" w:tplc="0407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5C6F68"/>
    <w:multiLevelType w:val="hybridMultilevel"/>
    <w:tmpl w:val="E0047BC6"/>
    <w:lvl w:ilvl="0" w:tplc="4574E8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E0AD43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98"/>
    <w:rsid w:val="0010240F"/>
    <w:rsid w:val="002B402B"/>
    <w:rsid w:val="002D4149"/>
    <w:rsid w:val="00306714"/>
    <w:rsid w:val="00406668"/>
    <w:rsid w:val="004A138B"/>
    <w:rsid w:val="00547543"/>
    <w:rsid w:val="00622598"/>
    <w:rsid w:val="00672A31"/>
    <w:rsid w:val="007249B7"/>
    <w:rsid w:val="0073545E"/>
    <w:rsid w:val="007B5C93"/>
    <w:rsid w:val="007C58A7"/>
    <w:rsid w:val="008D7768"/>
    <w:rsid w:val="00917453"/>
    <w:rsid w:val="00924228"/>
    <w:rsid w:val="00BF4AA6"/>
    <w:rsid w:val="00C05297"/>
    <w:rsid w:val="00D129D1"/>
    <w:rsid w:val="00DF7630"/>
    <w:rsid w:val="00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714"/>
    <w:pPr>
      <w:spacing w:after="160" w:line="25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6714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306714"/>
  </w:style>
  <w:style w:type="table" w:styleId="Rcsostblzat">
    <w:name w:val="Table Grid"/>
    <w:basedOn w:val="Normltblzat"/>
    <w:uiPriority w:val="39"/>
    <w:rsid w:val="00306714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306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714"/>
    <w:pPr>
      <w:spacing w:after="160" w:line="256" w:lineRule="auto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6714"/>
    <w:pPr>
      <w:ind w:left="720"/>
      <w:contextualSpacing/>
    </w:pPr>
  </w:style>
  <w:style w:type="character" w:customStyle="1" w:styleId="tlid-translation">
    <w:name w:val="tlid-translation"/>
    <w:basedOn w:val="Bekezdsalapbettpusa"/>
    <w:rsid w:val="00306714"/>
  </w:style>
  <w:style w:type="table" w:styleId="Rcsostblzat">
    <w:name w:val="Table Grid"/>
    <w:basedOn w:val="Normltblzat"/>
    <w:uiPriority w:val="39"/>
    <w:rsid w:val="00306714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30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Gorenko</dc:creator>
  <cp:keywords/>
  <dc:description/>
  <cp:lastModifiedBy>1</cp:lastModifiedBy>
  <cp:revision>17</cp:revision>
  <dcterms:created xsi:type="dcterms:W3CDTF">2020-09-20T05:40:00Z</dcterms:created>
  <dcterms:modified xsi:type="dcterms:W3CDTF">2021-11-19T07:44:00Z</dcterms:modified>
</cp:coreProperties>
</file>