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3D26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57EC5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1"/>
        <w:gridCol w:w="1877"/>
        <w:gridCol w:w="1595"/>
        <w:gridCol w:w="1270"/>
        <w:gridCol w:w="1779"/>
        <w:gridCol w:w="1370"/>
      </w:tblGrid>
      <w:tr w:rsidR="00104EA3" w:rsidRPr="00D103CF" w14:paraId="763233C2" w14:textId="77777777" w:rsidTr="004644E8">
        <w:trPr>
          <w:trHeight w:val="811"/>
        </w:trPr>
        <w:tc>
          <w:tcPr>
            <w:tcW w:w="1681" w:type="dxa"/>
          </w:tcPr>
          <w:p w14:paraId="72DBA062" w14:textId="77777777" w:rsidR="00104EA3" w:rsidRPr="00D103CF" w:rsidRDefault="00104EA3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6EA4BDAB" w14:textId="77777777" w:rsidR="00104EA3" w:rsidRPr="00D103CF" w:rsidRDefault="00104EA3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14:paraId="410D42E1" w14:textId="77777777" w:rsidR="00104EA3" w:rsidRPr="00D103CF" w:rsidRDefault="00104EA3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5" w:type="dxa"/>
          </w:tcPr>
          <w:p w14:paraId="34CB9206" w14:textId="77777777" w:rsidR="00104EA3" w:rsidRPr="00D103CF" w:rsidRDefault="00104EA3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70" w:type="dxa"/>
          </w:tcPr>
          <w:p w14:paraId="00ADB352" w14:textId="77777777" w:rsidR="00104EA3" w:rsidRPr="00D103CF" w:rsidRDefault="00104EA3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79" w:type="dxa"/>
          </w:tcPr>
          <w:p w14:paraId="22C4FAAD" w14:textId="77777777" w:rsidR="00104EA3" w:rsidRPr="00D103CF" w:rsidRDefault="00104EA3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70" w:type="dxa"/>
          </w:tcPr>
          <w:p w14:paraId="79D186ED" w14:textId="77777777" w:rsidR="00104EA3" w:rsidRPr="00D103CF" w:rsidRDefault="00104EA3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IV/7</w:t>
            </w:r>
          </w:p>
        </w:tc>
      </w:tr>
    </w:tbl>
    <w:p w14:paraId="6D2155DA" w14:textId="77777777" w:rsidR="00E42757" w:rsidRDefault="00E42757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BC4F76" w14:textId="71DAACBA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547046" w:rsidRPr="002F1AD2" w14:paraId="1A46353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24120CE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46EDB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46D9051" w14:textId="05D34550" w:rsidR="00547046" w:rsidRPr="002F1AD2" w:rsidRDefault="00547046" w:rsidP="00547046">
            <w:pPr>
              <w:rPr>
                <w:lang w:val="uk-UA"/>
              </w:rPr>
            </w:pPr>
            <w:r w:rsidRPr="00740E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Інфокомунікаційні технології у навчанні хімії</w:t>
            </w:r>
          </w:p>
        </w:tc>
      </w:tr>
      <w:tr w:rsidR="00DC1757" w:rsidRPr="002F1AD2" w14:paraId="37A1B1C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27444E4" w14:textId="77777777" w:rsidR="00DC1757" w:rsidRPr="002F1AD2" w:rsidRDefault="00DC1757" w:rsidP="00DC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3A45D" w14:textId="77777777" w:rsidR="00DC1757" w:rsidRPr="002F1AD2" w:rsidRDefault="00DC1757" w:rsidP="00DC17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02454CD8" w14:textId="5543762D" w:rsidR="00DC1757" w:rsidRPr="002F1AD2" w:rsidRDefault="00DC1757" w:rsidP="00DC1757">
            <w:pPr>
              <w:rPr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DC1757" w:rsidRPr="002F1AD2" w14:paraId="100B938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2D87FE" w14:textId="77777777" w:rsidR="00DC1757" w:rsidRPr="002F1AD2" w:rsidRDefault="00DC1757" w:rsidP="00DC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6F94F" w14:textId="77777777" w:rsidR="00DC1757" w:rsidRPr="002F1AD2" w:rsidRDefault="00DC1757" w:rsidP="00DC17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1E5723F8" w14:textId="18198C98" w:rsidR="00DC1757" w:rsidRPr="002F1AD2" w:rsidRDefault="00DC1757" w:rsidP="00DC1757">
            <w:pPr>
              <w:rPr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Хімія</w:t>
            </w:r>
          </w:p>
        </w:tc>
      </w:tr>
      <w:tr w:rsidR="00547046" w:rsidRPr="002F1AD2" w14:paraId="3BD7C66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7273886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</w:tcPr>
          <w:p w14:paraId="50A2CF9D" w14:textId="16A6A519" w:rsidR="00547046" w:rsidRPr="002F1AD2" w:rsidRDefault="00547046" w:rsidP="0054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0B74FA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110390BB" w14:textId="23671863" w:rsidR="00547046" w:rsidRPr="00A901F7" w:rsidRDefault="00547046" w:rsidP="00547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0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  <w:p w14:paraId="50D40F7A" w14:textId="6FDE089A" w:rsidR="00547046" w:rsidRPr="00A901F7" w:rsidRDefault="00547046" w:rsidP="00547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0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</w:t>
            </w:r>
          </w:p>
          <w:p w14:paraId="7262A857" w14:textId="16EDCF5D" w:rsidR="00547046" w:rsidRPr="00A901F7" w:rsidRDefault="00547046" w:rsidP="00547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0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14:paraId="4DE0F675" w14:textId="6B699B0B" w:rsidR="00547046" w:rsidRPr="00A901F7" w:rsidRDefault="00547046" w:rsidP="00547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0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14:paraId="4A5BD339" w14:textId="25CC5551" w:rsidR="00547046" w:rsidRPr="00A901F7" w:rsidRDefault="00547046" w:rsidP="00547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0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54</w:t>
            </w:r>
          </w:p>
          <w:p w14:paraId="3FC3210D" w14:textId="77777777" w:rsidR="00547046" w:rsidRPr="002F1AD2" w:rsidRDefault="00547046" w:rsidP="00547046"/>
        </w:tc>
      </w:tr>
      <w:tr w:rsidR="00547046" w:rsidRPr="002F1AD2" w14:paraId="6E0782E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FE3B06A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7229B97C" w14:textId="77777777" w:rsidR="00A82ECF" w:rsidRPr="00D103CF" w:rsidRDefault="00A82ECF" w:rsidP="00A82E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Горволдьі Золтан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к.х.н., </w:t>
            </w:r>
            <w:r w:rsidRPr="00E35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 філософії з природничих наук</w:t>
            </w:r>
          </w:p>
          <w:p w14:paraId="3CF3BF87" w14:textId="1ABA6562" w:rsidR="00547046" w:rsidRPr="002F1AD2" w:rsidRDefault="00A82ECF" w:rsidP="00A82ECF">
            <w:r w:rsidRPr="00A4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horvolgyi.zoltan@kmf.org.ua</w:t>
            </w:r>
            <w:r w:rsidRPr="002F1AD2">
              <w:t xml:space="preserve"> </w:t>
            </w:r>
          </w:p>
        </w:tc>
      </w:tr>
      <w:tr w:rsidR="00547046" w:rsidRPr="002F1AD2" w14:paraId="1E1610B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3577C4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6B405552" w14:textId="684AD6BE" w:rsidR="00547046" w:rsidRPr="00EC2940" w:rsidRDefault="00EC2940" w:rsidP="005470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2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вивчення курсу «Інфокомунікаційні технології у навчанні хімії»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</w:t>
            </w:r>
            <w:r w:rsidRPr="00EC2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потребують знань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шкільного курсу</w:t>
            </w:r>
            <w:r w:rsidRPr="00EC2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Методики навчання хімії.</w:t>
            </w:r>
          </w:p>
        </w:tc>
      </w:tr>
      <w:tr w:rsidR="00547046" w:rsidRPr="002F1AD2" w14:paraId="0FEA8B6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F8B3157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14:paraId="360EB4FF" w14:textId="77777777" w:rsidR="00547046" w:rsidRDefault="00D0388B" w:rsidP="00D03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Pr="00740E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Інфокомунікаційні технології у навчанні хімії</w:t>
            </w:r>
            <w:r w:rsidRPr="00D8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належить до переліку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обов’язкових</w:t>
            </w:r>
            <w:r w:rsidRPr="00D8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Дисципліна «</w:t>
            </w:r>
            <w:r w:rsidRPr="00740E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Інфокомунікаційні технології у навчанні хімії</w:t>
            </w:r>
            <w:r w:rsidRPr="00D8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спрямована на вивчення певних інформаційних технологій, які можуть використовуватися в освітньому процесі з метою подання навчального матеріалу та оцінювання учнів.</w:t>
            </w:r>
          </w:p>
          <w:p w14:paraId="2747D758" w14:textId="16CD341F" w:rsidR="009E6CE2" w:rsidRPr="009E6CE2" w:rsidRDefault="009E6CE2" w:rsidP="00D03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формувати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знання, вміння і навички, необхідні для усвідомлення і раціонального використання понять, законів і методів веб-технологій, як предмету вивчення, і як засобу для вивчення інших предметних областей, зокрема цифрових автоматів, систем штучного інтелекту, формальних систем. Навчитись ефективно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застосовувати різних веб-сервісів для розв’язання практичних задач.</w:t>
            </w:r>
          </w:p>
          <w:p w14:paraId="10ADB00C" w14:textId="78417C4F" w:rsidR="003361A0" w:rsidRPr="00D103CF" w:rsidRDefault="003361A0" w:rsidP="003361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Згідно з вимогами освітньої програми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014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Середня освіта (Хімія) для підготовки здобувачів вищої освіти на першому (</w:t>
            </w: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бакалаврському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рівні вищої освіти здобувачі набудуть наступних компетентностей:</w:t>
            </w:r>
          </w:p>
          <w:p w14:paraId="7247693D" w14:textId="77777777" w:rsidR="003361A0" w:rsidRPr="00D103CF" w:rsidRDefault="003361A0" w:rsidP="003361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загальних:</w:t>
            </w:r>
          </w:p>
          <w:p w14:paraId="0BD84F8A" w14:textId="77777777" w:rsidR="003361A0" w:rsidRPr="002F70B4" w:rsidRDefault="003361A0" w:rsidP="003361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2C8AA62D" w14:textId="77777777" w:rsidR="003361A0" w:rsidRPr="002F70B4" w:rsidRDefault="003361A0" w:rsidP="003361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ЗК4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55BD8CBA" w14:textId="77777777" w:rsidR="00CF7AF4" w:rsidRDefault="00CF7AF4" w:rsidP="00CF7A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фахових:</w:t>
            </w:r>
          </w:p>
          <w:p w14:paraId="5C5D21AC" w14:textId="77777777" w:rsidR="00CF7AF4" w:rsidRDefault="00CF7AF4" w:rsidP="00CF7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ФК3.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розвитку учнів.</w:t>
            </w:r>
          </w:p>
          <w:p w14:paraId="306144A2" w14:textId="472A0E26" w:rsidR="005F4433" w:rsidRDefault="005F4433" w:rsidP="00CF7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предметних</w:t>
            </w:r>
            <w:r w:rsidRPr="00D103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14:paraId="4DC83235" w14:textId="77777777" w:rsidR="005F4433" w:rsidRPr="002F70B4" w:rsidRDefault="005F4433" w:rsidP="005F4433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1.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користуватися символікою і сучасною термінологією хімічних наук.</w:t>
            </w:r>
          </w:p>
          <w:p w14:paraId="2F02D30B" w14:textId="77777777" w:rsidR="005F4433" w:rsidRPr="00D103CF" w:rsidRDefault="005F4433" w:rsidP="005F44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  <w:t>та програмних результатів навчання:</w:t>
            </w:r>
          </w:p>
          <w:p w14:paraId="2C137DA3" w14:textId="77777777" w:rsidR="00794DEA" w:rsidRPr="002F70B4" w:rsidRDefault="00794DEA" w:rsidP="0079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ПРН8.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Генерує обґрунтовані думки в галузі професійних знань як для фахівців, так і для широкого загалу державною та іноземною мовами.</w:t>
            </w:r>
          </w:p>
          <w:p w14:paraId="353FB84D" w14:textId="77777777" w:rsidR="009E6CE2" w:rsidRDefault="00794DEA" w:rsidP="00D03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 сучасні інформаційно-комунікаційні та цифрові технології у професійній діяльності.</w:t>
            </w:r>
          </w:p>
          <w:p w14:paraId="688E3C42" w14:textId="77777777" w:rsidR="00794DEA" w:rsidRPr="00A5578B" w:rsidRDefault="00794DEA" w:rsidP="00794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лекцій:</w:t>
            </w:r>
          </w:p>
          <w:p w14:paraId="33AAAB76" w14:textId="77777777" w:rsidR="00794DEA" w:rsidRPr="00CF3E8A" w:rsidRDefault="00794DEA" w:rsidP="00794D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і засоби комп'ютерних технології в освіті і науці</w:t>
            </w:r>
          </w:p>
          <w:p w14:paraId="35808E88" w14:textId="77777777" w:rsidR="00794DEA" w:rsidRDefault="00794DEA" w:rsidP="00794D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Використання інтернету в навчання</w:t>
            </w:r>
          </w:p>
          <w:p w14:paraId="1FE8C7E2" w14:textId="77777777" w:rsidR="00794DEA" w:rsidRPr="00D93DF7" w:rsidRDefault="00794DEA" w:rsidP="00794D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Системи дистанційного навчання: </w:t>
            </w:r>
            <w:r w:rsidRPr="00D9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 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Moodle</w:t>
            </w:r>
          </w:p>
          <w:p w14:paraId="4048DFB9" w14:textId="77777777" w:rsidR="00794DEA" w:rsidRPr="00D93DF7" w:rsidRDefault="00794DEA" w:rsidP="00794D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естові системи: </w:t>
            </w:r>
            <w:r w:rsidRPr="00D9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3DF7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Redmneta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ітд.</w:t>
            </w:r>
          </w:p>
          <w:p w14:paraId="46BBA601" w14:textId="77777777" w:rsidR="00794DEA" w:rsidRPr="00D93DF7" w:rsidRDefault="00794DEA" w:rsidP="00794D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93DF7">
              <w:rPr>
                <w:rFonts w:ascii="Times New Roman" w:hAnsi="Times New Roman" w:cs="Times New Roman"/>
                <w:sz w:val="24"/>
                <w:szCs w:val="24"/>
              </w:rPr>
              <w:t>рограми для презентацій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Prezi, </w:t>
            </w:r>
            <w:r w:rsidRPr="00D93DF7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Google slides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ітд.</w:t>
            </w:r>
          </w:p>
          <w:p w14:paraId="27DC607D" w14:textId="77777777" w:rsidR="00794DEA" w:rsidRDefault="00794DEA" w:rsidP="00794D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відео-комунікаційні сервіси: Google meet, Teams, Skype, Discord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ітд.</w:t>
            </w:r>
          </w:p>
          <w:p w14:paraId="4C6E5302" w14:textId="77777777" w:rsidR="00794DEA" w:rsidRPr="00B35E40" w:rsidRDefault="00794DEA" w:rsidP="00794D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2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икористання інтерактивної дошки в навчанні</w:t>
            </w:r>
          </w:p>
          <w:p w14:paraId="3F734506" w14:textId="77777777" w:rsidR="00794DEA" w:rsidRPr="00C5643C" w:rsidRDefault="00794DEA" w:rsidP="00794D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B35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тучний інтелект в освіті</w:t>
            </w:r>
          </w:p>
          <w:p w14:paraId="29F0A4AF" w14:textId="442BD417" w:rsidR="00794DEA" w:rsidRPr="00794DEA" w:rsidRDefault="00794DEA" w:rsidP="0079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Тематики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робіт відображають та базуються на основному змісті лекцій.</w:t>
            </w:r>
          </w:p>
        </w:tc>
      </w:tr>
      <w:tr w:rsidR="00547046" w:rsidRPr="002F1AD2" w14:paraId="1B6E24D7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3F24F8C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7EC393F6" w14:textId="34D911A4" w:rsidR="00676825" w:rsidRDefault="00676825" w:rsidP="00676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досягнення бакалаврантів із дисципліни «</w:t>
            </w:r>
            <w:r w:rsidR="005D26D5" w:rsidRPr="00740E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D26D5" w:rsidRPr="00740E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Інфокомунікаційні технології у навчанні хімії</w:t>
            </w:r>
            <w:r w:rsidR="005D2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оцінюються за модульно-рейтинговою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</w:t>
            </w:r>
          </w:p>
          <w:p w14:paraId="0A6EFF8B" w14:textId="77777777" w:rsidR="00676825" w:rsidRPr="00676825" w:rsidRDefault="00676825" w:rsidP="00676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5270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167"/>
              <w:gridCol w:w="984"/>
              <w:gridCol w:w="1560"/>
              <w:gridCol w:w="1559"/>
            </w:tblGrid>
            <w:tr w:rsidR="00676825" w14:paraId="4D70E590" w14:textId="77777777" w:rsidTr="004644E8">
              <w:trPr>
                <w:trHeight w:val="415"/>
              </w:trPr>
              <w:tc>
                <w:tcPr>
                  <w:tcW w:w="1167" w:type="dxa"/>
                  <w:vMerge w:val="restart"/>
                  <w:vAlign w:val="center"/>
                </w:tcPr>
                <w:p w14:paraId="3010362F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Сума балів за всі види навчальної діяльності </w:t>
                  </w:r>
                </w:p>
              </w:tc>
              <w:tc>
                <w:tcPr>
                  <w:tcW w:w="984" w:type="dxa"/>
                  <w:vMerge w:val="restart"/>
                  <w:vAlign w:val="center"/>
                </w:tcPr>
                <w:p w14:paraId="78FB7F9D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ECTS</w:t>
                  </w:r>
                </w:p>
              </w:tc>
              <w:tc>
                <w:tcPr>
                  <w:tcW w:w="3119" w:type="dxa"/>
                  <w:gridSpan w:val="2"/>
                  <w:vAlign w:val="center"/>
                </w:tcPr>
                <w:p w14:paraId="635BA25E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 за національною шкалою</w:t>
                  </w:r>
                </w:p>
              </w:tc>
            </w:tr>
            <w:tr w:rsidR="00676825" w14:paraId="6B5957B0" w14:textId="77777777" w:rsidTr="004644E8">
              <w:trPr>
                <w:trHeight w:val="1070"/>
              </w:trPr>
              <w:tc>
                <w:tcPr>
                  <w:tcW w:w="1167" w:type="dxa"/>
                  <w:vMerge/>
                  <w:vAlign w:val="center"/>
                </w:tcPr>
                <w:p w14:paraId="7F2390FD" w14:textId="77777777" w:rsidR="00676825" w:rsidRDefault="00676825" w:rsidP="006768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vMerge/>
                  <w:vAlign w:val="center"/>
                </w:tcPr>
                <w:p w14:paraId="127E2549" w14:textId="77777777" w:rsidR="00676825" w:rsidRDefault="00676825" w:rsidP="006768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C69203D" w14:textId="77777777" w:rsidR="00676825" w:rsidRDefault="00676825" w:rsidP="00676825">
                  <w:pPr>
                    <w:spacing w:line="240" w:lineRule="auto"/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для екзамену, курсового проекту (роботи), практики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80678E9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заліку</w:t>
                  </w:r>
                </w:p>
              </w:tc>
            </w:tr>
            <w:tr w:rsidR="00676825" w14:paraId="24574A03" w14:textId="77777777" w:rsidTr="004644E8">
              <w:trPr>
                <w:trHeight w:val="166"/>
              </w:trPr>
              <w:tc>
                <w:tcPr>
                  <w:tcW w:w="1167" w:type="dxa"/>
                  <w:vAlign w:val="center"/>
                </w:tcPr>
                <w:p w14:paraId="5D85DAFE" w14:textId="77777777" w:rsidR="00676825" w:rsidRDefault="00676825" w:rsidP="00676825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– 100</w:t>
                  </w:r>
                </w:p>
              </w:tc>
              <w:tc>
                <w:tcPr>
                  <w:tcW w:w="984" w:type="dxa"/>
                  <w:vAlign w:val="center"/>
                </w:tcPr>
                <w:p w14:paraId="732F3D61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60" w:type="dxa"/>
                  <w:vAlign w:val="center"/>
                </w:tcPr>
                <w:p w14:paraId="76529CC9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відмінно 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A55B03F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</w:p>
              </w:tc>
            </w:tr>
            <w:tr w:rsidR="00676825" w14:paraId="67273C30" w14:textId="77777777" w:rsidTr="004644E8">
              <w:trPr>
                <w:trHeight w:val="179"/>
              </w:trPr>
              <w:tc>
                <w:tcPr>
                  <w:tcW w:w="1167" w:type="dxa"/>
                  <w:vAlign w:val="center"/>
                </w:tcPr>
                <w:p w14:paraId="43BF28DC" w14:textId="77777777" w:rsidR="00676825" w:rsidRDefault="00676825" w:rsidP="00676825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82-89</w:t>
                  </w:r>
                </w:p>
              </w:tc>
              <w:tc>
                <w:tcPr>
                  <w:tcW w:w="984" w:type="dxa"/>
                  <w:vAlign w:val="center"/>
                </w:tcPr>
                <w:p w14:paraId="178F5C9C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71E09A98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добре 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097B5D3" w14:textId="77777777" w:rsidR="00676825" w:rsidRDefault="00676825" w:rsidP="006768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825" w14:paraId="6AEA1F48" w14:textId="77777777" w:rsidTr="004644E8">
              <w:trPr>
                <w:trHeight w:val="166"/>
              </w:trPr>
              <w:tc>
                <w:tcPr>
                  <w:tcW w:w="1167" w:type="dxa"/>
                  <w:vAlign w:val="center"/>
                </w:tcPr>
                <w:p w14:paraId="673CE3CA" w14:textId="77777777" w:rsidR="00676825" w:rsidRDefault="00676825" w:rsidP="00676825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75-81</w:t>
                  </w:r>
                </w:p>
              </w:tc>
              <w:tc>
                <w:tcPr>
                  <w:tcW w:w="984" w:type="dxa"/>
                  <w:vAlign w:val="center"/>
                </w:tcPr>
                <w:p w14:paraId="25FB9ADF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14:paraId="4071125C" w14:textId="77777777" w:rsidR="00676825" w:rsidRDefault="00676825" w:rsidP="006768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CDA39D9" w14:textId="77777777" w:rsidR="00676825" w:rsidRDefault="00676825" w:rsidP="006768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76825" w14:paraId="22A14DF1" w14:textId="77777777" w:rsidTr="004644E8">
              <w:trPr>
                <w:trHeight w:val="175"/>
              </w:trPr>
              <w:tc>
                <w:tcPr>
                  <w:tcW w:w="1167" w:type="dxa"/>
                  <w:vAlign w:val="center"/>
                </w:tcPr>
                <w:p w14:paraId="32BF0B1D" w14:textId="77777777" w:rsidR="00676825" w:rsidRDefault="00676825" w:rsidP="00676825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64-74</w:t>
                  </w:r>
                </w:p>
              </w:tc>
              <w:tc>
                <w:tcPr>
                  <w:tcW w:w="984" w:type="dxa"/>
                  <w:vAlign w:val="center"/>
                </w:tcPr>
                <w:p w14:paraId="661A180C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12196D43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задовільно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14:paraId="74816234" w14:textId="77777777" w:rsidR="00676825" w:rsidRDefault="00676825" w:rsidP="006768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825" w14:paraId="6B29F8D1" w14:textId="77777777" w:rsidTr="004644E8">
              <w:trPr>
                <w:trHeight w:val="166"/>
              </w:trPr>
              <w:tc>
                <w:tcPr>
                  <w:tcW w:w="1167" w:type="dxa"/>
                  <w:vAlign w:val="center"/>
                </w:tcPr>
                <w:p w14:paraId="2137E381" w14:textId="77777777" w:rsidR="00676825" w:rsidRDefault="00676825" w:rsidP="00676825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60-63</w:t>
                  </w:r>
                </w:p>
              </w:tc>
              <w:tc>
                <w:tcPr>
                  <w:tcW w:w="984" w:type="dxa"/>
                  <w:vAlign w:val="center"/>
                </w:tcPr>
                <w:p w14:paraId="781F943E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Е 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14:paraId="6E86FA31" w14:textId="77777777" w:rsidR="00676825" w:rsidRDefault="00676825" w:rsidP="006768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392AC1" w14:textId="77777777" w:rsidR="00676825" w:rsidRDefault="00676825" w:rsidP="006768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76825" w14:paraId="2C43B6CC" w14:textId="77777777" w:rsidTr="004644E8">
              <w:trPr>
                <w:trHeight w:val="507"/>
              </w:trPr>
              <w:tc>
                <w:tcPr>
                  <w:tcW w:w="1167" w:type="dxa"/>
                  <w:vAlign w:val="center"/>
                </w:tcPr>
                <w:p w14:paraId="443B4770" w14:textId="77777777" w:rsidR="00676825" w:rsidRDefault="00676825" w:rsidP="00676825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35-59</w:t>
                  </w:r>
                </w:p>
              </w:tc>
              <w:tc>
                <w:tcPr>
                  <w:tcW w:w="984" w:type="dxa"/>
                  <w:vAlign w:val="center"/>
                </w:tcPr>
                <w:p w14:paraId="3130618A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60" w:type="dxa"/>
                  <w:vAlign w:val="center"/>
                </w:tcPr>
                <w:p w14:paraId="281ABA69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559" w:type="dxa"/>
                  <w:vAlign w:val="center"/>
                </w:tcPr>
                <w:p w14:paraId="246E085E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зараховано з можливістю повторного складання</w:t>
                  </w:r>
                </w:p>
              </w:tc>
            </w:tr>
            <w:tr w:rsidR="00676825" w14:paraId="6CCBCE8B" w14:textId="77777777" w:rsidTr="004644E8">
              <w:trPr>
                <w:trHeight w:val="653"/>
              </w:trPr>
              <w:tc>
                <w:tcPr>
                  <w:tcW w:w="1167" w:type="dxa"/>
                  <w:vAlign w:val="center"/>
                </w:tcPr>
                <w:p w14:paraId="3CC86FE0" w14:textId="77777777" w:rsidR="00676825" w:rsidRDefault="00676825" w:rsidP="00676825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0-34</w:t>
                  </w:r>
                </w:p>
              </w:tc>
              <w:tc>
                <w:tcPr>
                  <w:tcW w:w="984" w:type="dxa"/>
                  <w:vAlign w:val="center"/>
                </w:tcPr>
                <w:p w14:paraId="7078ADF4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60" w:type="dxa"/>
                  <w:vAlign w:val="center"/>
                </w:tcPr>
                <w:p w14:paraId="60B651B7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незадовільно з обов’язковим повторним вивченням дисципліни 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69BEDC" w14:textId="77777777" w:rsidR="00676825" w:rsidRDefault="00676825" w:rsidP="0067682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 зараховано з обов’язковим повторним вивченням дисципліни </w:t>
                  </w:r>
                </w:p>
              </w:tc>
            </w:tr>
          </w:tbl>
          <w:p w14:paraId="2C3A133E" w14:textId="77777777" w:rsidR="00676825" w:rsidRPr="00D103CF" w:rsidRDefault="00676825" w:rsidP="006768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4B010EA9" w14:textId="77777777" w:rsidR="00676825" w:rsidRPr="00D103CF" w:rsidRDefault="00676825" w:rsidP="006768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та захист </w:t>
            </w:r>
            <w:r w:rsidRPr="00AF0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– 40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балів;</w:t>
            </w:r>
          </w:p>
          <w:p w14:paraId="029C3AC5" w14:textId="77777777" w:rsidR="00676825" w:rsidRPr="00D103CF" w:rsidRDefault="00676825" w:rsidP="006768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контрольних робіт на практичних заняттях – 20% балів;</w:t>
            </w:r>
          </w:p>
          <w:p w14:paraId="3E875515" w14:textId="77777777" w:rsidR="00676825" w:rsidRPr="00D103CF" w:rsidRDefault="00676825" w:rsidP="006768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– 40% балів. </w:t>
            </w:r>
          </w:p>
          <w:p w14:paraId="68D7E557" w14:textId="77777777" w:rsidR="00676825" w:rsidRDefault="00676825" w:rsidP="009A6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861BDD" w14:textId="77777777" w:rsidR="00676825" w:rsidRDefault="00676825" w:rsidP="009A6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екзамену допускаються студенти, які відвідували лекційні та практичні заняття, опрацювали рекомендований мінімум навчальних завдань, прозвітували про самостійну роботу, виконали запропоновані реферативні роботи, і накопили мінімум 60% балів на протязі одного семестру. </w:t>
            </w:r>
          </w:p>
          <w:p w14:paraId="5CE7BE48" w14:textId="77777777" w:rsidR="00676825" w:rsidRPr="00AF07BD" w:rsidRDefault="00676825" w:rsidP="009A6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Важливою передумовою допуску до заліку є відпрацювання пропущених лекційних занять.</w:t>
            </w:r>
          </w:p>
          <w:p w14:paraId="51655D37" w14:textId="77777777" w:rsidR="00547046" w:rsidRDefault="00676825" w:rsidP="009A6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 та екзамену.</w:t>
            </w:r>
          </w:p>
          <w:p w14:paraId="71E28DFD" w14:textId="38B5F799" w:rsidR="009A61DD" w:rsidRPr="002F1AD2" w:rsidRDefault="009A61DD" w:rsidP="009A61DD">
            <w:pPr>
              <w:jc w:val="both"/>
              <w:rPr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самостійних та модульних робіт відбувається із дозволу лектора та завідувача кафедри за наявності поважних причин. Відвідування </w:t>
            </w:r>
            <w:r w:rsidRPr="00AF0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є обов’язковим. За об’єктивних причин навчання може відбуватись в змішаній формі за погодженням із відповідальними викладачами курсу.</w:t>
            </w:r>
          </w:p>
        </w:tc>
      </w:tr>
      <w:tr w:rsidR="00547046" w:rsidRPr="002F1AD2" w14:paraId="60119BC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B87FE61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5B36CADE" w14:textId="74DF58B8" w:rsidR="00547046" w:rsidRPr="002F1AD2" w:rsidRDefault="006C5978" w:rsidP="006C5978">
            <w:pPr>
              <w:pStyle w:val="TableParagraph"/>
              <w:ind w:left="0" w:right="167"/>
            </w:pPr>
            <w:r>
              <w:rPr>
                <w:sz w:val="24"/>
                <w:szCs w:val="24"/>
              </w:rPr>
              <w:t xml:space="preserve">Мультимедійний </w:t>
            </w:r>
            <w:r>
              <w:rPr>
                <w:sz w:val="24"/>
                <w:szCs w:val="24"/>
              </w:rPr>
              <w:t xml:space="preserve">обладнання та </w:t>
            </w:r>
            <w:r>
              <w:rPr>
                <w:sz w:val="24"/>
                <w:szCs w:val="24"/>
              </w:rPr>
              <w:t>н</w:t>
            </w:r>
            <w:r w:rsidRPr="0036410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ут</w:t>
            </w:r>
            <w:r w:rsidRPr="00364101">
              <w:rPr>
                <w:sz w:val="24"/>
                <w:szCs w:val="24"/>
              </w:rPr>
              <w:t>бук</w:t>
            </w:r>
            <w:r>
              <w:rPr>
                <w:sz w:val="24"/>
                <w:szCs w:val="24"/>
              </w:rPr>
              <w:t>и.</w:t>
            </w:r>
          </w:p>
        </w:tc>
      </w:tr>
      <w:tr w:rsidR="00547046" w:rsidRPr="002F1AD2" w14:paraId="566F6FD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E915E02" w14:textId="77777777" w:rsidR="00547046" w:rsidRPr="002F1AD2" w:rsidRDefault="00547046" w:rsidP="0054704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Рекомендовані джерела (основна та допоміжна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література), електронні інформаційні ресурси</w:t>
            </w:r>
          </w:p>
        </w:tc>
        <w:tc>
          <w:tcPr>
            <w:tcW w:w="6343" w:type="dxa"/>
          </w:tcPr>
          <w:p w14:paraId="5F2DB2D4" w14:textId="77777777" w:rsidR="006C5978" w:rsidRPr="00180373" w:rsidRDefault="006C5978" w:rsidP="006C59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Internet és multimédia a távoktatásban eduline.hu/segedanyagtalalatok/letolt/3850</w:t>
            </w:r>
          </w:p>
          <w:p w14:paraId="77324CBF" w14:textId="77777777" w:rsidR="006C5978" w:rsidRPr="00952BA0" w:rsidRDefault="006C5978" w:rsidP="006C5978">
            <w:pPr>
              <w:pStyle w:val="a8"/>
              <w:numPr>
                <w:ilvl w:val="0"/>
                <w:numId w:val="2"/>
              </w:num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952BA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https://kahoot.com/</w:t>
              </w:r>
            </w:hyperlink>
          </w:p>
          <w:p w14:paraId="5FB74481" w14:textId="77777777" w:rsidR="006C5978" w:rsidRPr="00952BA0" w:rsidRDefault="006C5978" w:rsidP="006C5978">
            <w:pPr>
              <w:pStyle w:val="a8"/>
              <w:numPr>
                <w:ilvl w:val="0"/>
                <w:numId w:val="2"/>
              </w:num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52BA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https://moodle.org/</w:t>
              </w:r>
            </w:hyperlink>
          </w:p>
          <w:p w14:paraId="14CBF24A" w14:textId="77777777" w:rsidR="006C5978" w:rsidRPr="00952BA0" w:rsidRDefault="006C5978" w:rsidP="006C5978">
            <w:pPr>
              <w:pStyle w:val="a8"/>
              <w:numPr>
                <w:ilvl w:val="0"/>
                <w:numId w:val="2"/>
              </w:num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952BA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https://prezi.com/</w:t>
              </w:r>
            </w:hyperlink>
          </w:p>
          <w:p w14:paraId="6F1ACA29" w14:textId="77777777" w:rsidR="006C5978" w:rsidRPr="00952BA0" w:rsidRDefault="006C5978" w:rsidP="006C5978">
            <w:pPr>
              <w:pStyle w:val="a8"/>
              <w:numPr>
                <w:ilvl w:val="0"/>
                <w:numId w:val="2"/>
              </w:num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952BA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https://redmenta.com/</w:t>
              </w:r>
            </w:hyperlink>
          </w:p>
          <w:p w14:paraId="71CA7975" w14:textId="77777777" w:rsidR="006C5978" w:rsidRPr="00952BA0" w:rsidRDefault="006C5978" w:rsidP="006C5978">
            <w:pPr>
              <w:pStyle w:val="a8"/>
              <w:numPr>
                <w:ilvl w:val="0"/>
                <w:numId w:val="2"/>
              </w:numPr>
              <w:ind w:left="28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52BA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https://www.canva.com/</w:t>
              </w:r>
            </w:hyperlink>
          </w:p>
          <w:p w14:paraId="7FA2735D" w14:textId="77777777" w:rsidR="006C5978" w:rsidRDefault="006C5978" w:rsidP="006C5978">
            <w:pPr>
              <w:pStyle w:val="a8"/>
              <w:numPr>
                <w:ilvl w:val="0"/>
                <w:numId w:val="2"/>
              </w:num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1594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https://workspace.google.com/</w:t>
              </w:r>
            </w:hyperlink>
          </w:p>
          <w:p w14:paraId="49D04838" w14:textId="77777777" w:rsidR="00547046" w:rsidRPr="002F1AD2" w:rsidRDefault="00547046" w:rsidP="00547046"/>
        </w:tc>
      </w:tr>
    </w:tbl>
    <w:p w14:paraId="0C22BA11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1F3A89">
      <w:headerReference w:type="default" r:id="rId14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BF38" w14:textId="77777777" w:rsidR="001F3A89" w:rsidRDefault="001F3A89" w:rsidP="0005502E">
      <w:pPr>
        <w:spacing w:after="0" w:line="240" w:lineRule="auto"/>
      </w:pPr>
      <w:r>
        <w:separator/>
      </w:r>
    </w:p>
  </w:endnote>
  <w:endnote w:type="continuationSeparator" w:id="0">
    <w:p w14:paraId="5D5C6B8A" w14:textId="77777777" w:rsidR="001F3A89" w:rsidRDefault="001F3A89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8965" w14:textId="77777777" w:rsidR="001F3A89" w:rsidRDefault="001F3A89" w:rsidP="0005502E">
      <w:pPr>
        <w:spacing w:after="0" w:line="240" w:lineRule="auto"/>
      </w:pPr>
      <w:r>
        <w:separator/>
      </w:r>
    </w:p>
  </w:footnote>
  <w:footnote w:type="continuationSeparator" w:id="0">
    <w:p w14:paraId="2C22E873" w14:textId="77777777" w:rsidR="001F3A89" w:rsidRDefault="001F3A89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5F12" w14:textId="77777777" w:rsidR="0005502E" w:rsidRPr="00A25714" w:rsidRDefault="0005502E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C0E"/>
    <w:multiLevelType w:val="hybridMultilevel"/>
    <w:tmpl w:val="DEAAA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73A34"/>
    <w:multiLevelType w:val="hybridMultilevel"/>
    <w:tmpl w:val="364EB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02629">
    <w:abstractNumId w:val="0"/>
  </w:num>
  <w:num w:numId="2" w16cid:durableId="169411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5502E"/>
    <w:rsid w:val="000B74FA"/>
    <w:rsid w:val="000E504B"/>
    <w:rsid w:val="00104EA3"/>
    <w:rsid w:val="001425FD"/>
    <w:rsid w:val="001F3A89"/>
    <w:rsid w:val="002065A7"/>
    <w:rsid w:val="0028088A"/>
    <w:rsid w:val="00295510"/>
    <w:rsid w:val="002C40AD"/>
    <w:rsid w:val="002F1AD2"/>
    <w:rsid w:val="003361A0"/>
    <w:rsid w:val="00392D23"/>
    <w:rsid w:val="003C4985"/>
    <w:rsid w:val="003D0584"/>
    <w:rsid w:val="003D470F"/>
    <w:rsid w:val="00402BCE"/>
    <w:rsid w:val="0041052C"/>
    <w:rsid w:val="004B7818"/>
    <w:rsid w:val="004E2C2F"/>
    <w:rsid w:val="00526D7D"/>
    <w:rsid w:val="00547046"/>
    <w:rsid w:val="00586DFA"/>
    <w:rsid w:val="005D26D5"/>
    <w:rsid w:val="005F4433"/>
    <w:rsid w:val="005F5C2C"/>
    <w:rsid w:val="006618B7"/>
    <w:rsid w:val="00676825"/>
    <w:rsid w:val="006C5978"/>
    <w:rsid w:val="00700829"/>
    <w:rsid w:val="00705681"/>
    <w:rsid w:val="00794DEA"/>
    <w:rsid w:val="007B1F80"/>
    <w:rsid w:val="007E3FBF"/>
    <w:rsid w:val="00860BA6"/>
    <w:rsid w:val="008842E1"/>
    <w:rsid w:val="008A059F"/>
    <w:rsid w:val="008A1B3F"/>
    <w:rsid w:val="008B5A5C"/>
    <w:rsid w:val="008B5B21"/>
    <w:rsid w:val="008F1408"/>
    <w:rsid w:val="00994568"/>
    <w:rsid w:val="009A61DD"/>
    <w:rsid w:val="009E6CE2"/>
    <w:rsid w:val="00A01CF0"/>
    <w:rsid w:val="00A25714"/>
    <w:rsid w:val="00A26453"/>
    <w:rsid w:val="00A434B2"/>
    <w:rsid w:val="00A72D68"/>
    <w:rsid w:val="00A82AA5"/>
    <w:rsid w:val="00A82ECF"/>
    <w:rsid w:val="00A901F7"/>
    <w:rsid w:val="00AC4C79"/>
    <w:rsid w:val="00B30933"/>
    <w:rsid w:val="00B43B5D"/>
    <w:rsid w:val="00B46DB5"/>
    <w:rsid w:val="00B64A4D"/>
    <w:rsid w:val="00B66860"/>
    <w:rsid w:val="00C94731"/>
    <w:rsid w:val="00CF7AF4"/>
    <w:rsid w:val="00D0388B"/>
    <w:rsid w:val="00DA3F3F"/>
    <w:rsid w:val="00DC1757"/>
    <w:rsid w:val="00E237EC"/>
    <w:rsid w:val="00E41F89"/>
    <w:rsid w:val="00E42757"/>
    <w:rsid w:val="00E47EA8"/>
    <w:rsid w:val="00E827FD"/>
    <w:rsid w:val="00E93013"/>
    <w:rsid w:val="00EC2940"/>
    <w:rsid w:val="00ED65E5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E79D8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paragraph" w:styleId="a8">
    <w:name w:val="List Paragraph"/>
    <w:basedOn w:val="a"/>
    <w:uiPriority w:val="34"/>
    <w:qFormat/>
    <w:rsid w:val="00794D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597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C597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com/" TargetMode="External"/><Relationship Id="rId13" Type="http://schemas.openxmlformats.org/officeDocument/2006/relationships/hyperlink" Target="https://workspace.goog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va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menta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ez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8438-F424-40D1-9EB7-0DD776BA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24</cp:revision>
  <dcterms:created xsi:type="dcterms:W3CDTF">2021-03-22T14:17:00Z</dcterms:created>
  <dcterms:modified xsi:type="dcterms:W3CDTF">2024-03-24T19:26:00Z</dcterms:modified>
</cp:coreProperties>
</file>