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F73" w14:textId="77777777" w:rsidR="0085046B" w:rsidRPr="002F1AD2" w:rsidRDefault="0085046B" w:rsidP="0085046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41"/>
        <w:gridCol w:w="2041"/>
        <w:gridCol w:w="1572"/>
        <w:gridCol w:w="1241"/>
        <w:gridCol w:w="1765"/>
        <w:gridCol w:w="1312"/>
      </w:tblGrid>
      <w:tr w:rsidR="0085046B" w:rsidRPr="0085046B" w14:paraId="7B7609C6" w14:textId="77777777" w:rsidTr="00CC6D25">
        <w:trPr>
          <w:trHeight w:val="1453"/>
        </w:trPr>
        <w:tc>
          <w:tcPr>
            <w:tcW w:w="1819" w:type="dxa"/>
          </w:tcPr>
          <w:p w14:paraId="525CFA0A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53F1349D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677C42D9" w14:textId="77777777" w:rsidR="0085046B" w:rsidRPr="002F1AD2" w:rsidRDefault="0085046B" w:rsidP="00EE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 рівень</w:t>
            </w:r>
          </w:p>
        </w:tc>
        <w:tc>
          <w:tcPr>
            <w:tcW w:w="1672" w:type="dxa"/>
          </w:tcPr>
          <w:p w14:paraId="251D7A8A" w14:textId="77777777" w:rsidR="0085046B" w:rsidRPr="002F1AD2" w:rsidRDefault="0085046B" w:rsidP="00C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76F2D5B3" w14:textId="77777777" w:rsidR="0085046B" w:rsidRPr="002F1AD2" w:rsidRDefault="0085046B" w:rsidP="00850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5CFD1E80" w14:textId="77777777" w:rsidR="0085046B" w:rsidRPr="002F1AD2" w:rsidRDefault="0085046B" w:rsidP="00C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7587F2AF" w14:textId="77777777" w:rsidR="0085046B" w:rsidRPr="0085046B" w:rsidRDefault="0085046B" w:rsidP="00850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850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50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850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A61E7D6" w14:textId="77777777" w:rsidR="0085046B" w:rsidRPr="002F1AD2" w:rsidRDefault="0085046B" w:rsidP="0085046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85046B" w:rsidRPr="002F1AD2" w14:paraId="6AD1F1E1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19080723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64069012" w14:textId="77777777" w:rsidR="0085046B" w:rsidRPr="0085046B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46B">
              <w:rPr>
                <w:rFonts w:ascii="Times New Roman" w:hAnsi="Times New Roman" w:cs="Times New Roman"/>
                <w:sz w:val="24"/>
                <w:szCs w:val="24"/>
              </w:rPr>
              <w:t>Методи розв`язування розрахункових та експериментальних задач з хімії</w:t>
            </w:r>
          </w:p>
        </w:tc>
      </w:tr>
      <w:tr w:rsidR="0085046B" w:rsidRPr="002F1AD2" w14:paraId="42F61B8F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133941CC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169DE8BB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85046B" w:rsidRPr="002F1AD2" w14:paraId="6AA9A190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768C1DAE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785B8927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014 </w:t>
            </w:r>
            <w:r w:rsidRPr="00CB124E">
              <w:rPr>
                <w:rFonts w:ascii="Times New Roman" w:hAnsi="Times New Roman" w:cs="Times New Roman"/>
                <w:lang w:val="uk-UA"/>
              </w:rPr>
              <w:t>Середня осв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CB124E">
              <w:rPr>
                <w:rFonts w:ascii="Times New Roman" w:hAnsi="Times New Roman" w:cs="Times New Roman"/>
                <w:lang w:val="uk-UA"/>
              </w:rPr>
              <w:t>та (</w:t>
            </w:r>
            <w:r>
              <w:rPr>
                <w:rFonts w:ascii="Times New Roman" w:hAnsi="Times New Roman" w:cs="Times New Roman"/>
                <w:lang w:val="uk-UA"/>
              </w:rPr>
              <w:t>Хімія</w:t>
            </w:r>
            <w:r w:rsidRPr="00CB124E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85046B" w:rsidRPr="002F1AD2" w14:paraId="5A27347B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08A81005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14:paraId="327B4936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3EB47BB4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FA6F20" w14:textId="77777777" w:rsidR="0085046B" w:rsidRPr="0085046B" w:rsidRDefault="0085046B" w:rsidP="00CC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85E416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4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18BE215" w14:textId="5150699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1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3E6CFB0C" w14:textId="77777777" w:rsidR="0085046B" w:rsidRPr="00524306" w:rsidRDefault="0085046B" w:rsidP="00CC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7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4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43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75E7D6C5" w14:textId="77777777" w:rsidR="0085046B" w:rsidRPr="0027475E" w:rsidRDefault="0085046B" w:rsidP="00CC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6B" w:rsidRPr="002F1AD2" w14:paraId="14E79676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2D1548B2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2492B1BA" w14:textId="77777777" w:rsidR="00524306" w:rsidRPr="00C17295" w:rsidRDefault="00524306" w:rsidP="0052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 Олександрівна</w:t>
            </w:r>
          </w:p>
          <w:p w14:paraId="2AB8F6FA" w14:textId="77777777" w:rsidR="0085046B" w:rsidRPr="0027475E" w:rsidRDefault="00524306" w:rsidP="005243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295">
              <w:rPr>
                <w:rFonts w:ascii="Times New Roman" w:hAnsi="Times New Roman" w:cs="Times New Roman"/>
                <w:sz w:val="24"/>
                <w:szCs w:val="24"/>
              </w:rPr>
              <w:t>bak.eva@kmf.org.ua</w:t>
            </w:r>
          </w:p>
        </w:tc>
      </w:tr>
      <w:tr w:rsidR="0085046B" w:rsidRPr="002F1AD2" w14:paraId="77297B68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1383E4D7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45EED9E2" w14:textId="77777777" w:rsidR="0085046B" w:rsidRPr="00EE1744" w:rsidRDefault="00EE1744" w:rsidP="00524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744"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  <w:r w:rsidRPr="00EE1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E1744">
              <w:rPr>
                <w:rFonts w:ascii="Times New Roman" w:hAnsi="Times New Roman" w:cs="Times New Roman"/>
                <w:sz w:val="24"/>
                <w:szCs w:val="24"/>
              </w:rPr>
              <w:t>Загальна та неорганічна хімія</w:t>
            </w:r>
            <w:r w:rsidRPr="00EE1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E1744">
              <w:rPr>
                <w:rFonts w:ascii="Times New Roman" w:hAnsi="Times New Roman" w:cs="Times New Roman"/>
                <w:sz w:val="24"/>
                <w:szCs w:val="24"/>
              </w:rPr>
              <w:t>Аналітична хімія та інструментальні методи хімічного аналізу</w:t>
            </w:r>
            <w:r w:rsidRPr="00EE1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E1744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  <w:r w:rsidRPr="00EE1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E1744">
              <w:rPr>
                <w:rFonts w:ascii="Times New Roman" w:hAnsi="Times New Roman" w:cs="Times New Roman"/>
                <w:sz w:val="24"/>
                <w:szCs w:val="24"/>
              </w:rPr>
              <w:t>Фізична та колоїдна хімія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5046B" w:rsidRPr="002F1AD2" w14:paraId="51DAF896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0D70297D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14:paraId="22F458AF" w14:textId="77777777" w:rsidR="00524306" w:rsidRDefault="0085046B" w:rsidP="00524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524306" w:rsidRPr="0085046B">
              <w:rPr>
                <w:rFonts w:ascii="Times New Roman" w:hAnsi="Times New Roman" w:cs="Times New Roman"/>
                <w:sz w:val="24"/>
                <w:szCs w:val="24"/>
              </w:rPr>
              <w:t>Методи розв`язування розрахункових та експериментальних задач з хімії</w:t>
            </w: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належить до переліку обов’язкових навчальних дисциплін </w:t>
            </w:r>
            <w:r w:rsidR="00524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спеціальності </w:t>
            </w:r>
            <w:r w:rsidR="005243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014 </w:t>
            </w:r>
            <w:r w:rsidR="00524306">
              <w:rPr>
                <w:rFonts w:ascii="Times New Roman" w:hAnsi="Times New Roman" w:cs="Times New Roman"/>
                <w:lang w:val="uk-UA"/>
              </w:rPr>
              <w:t>Середня освіта (Хімія).</w:t>
            </w:r>
            <w:r w:rsidR="00524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2FAF4DD" w14:textId="77777777" w:rsidR="00EE1744" w:rsidRPr="00C3651A" w:rsidRDefault="00EE1744" w:rsidP="00EE174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Метa: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 професійно-орієнтованої дисципліни “Методика розв’язування розрахункових задач з хімії” - ознайомити студентів з теоретичними основами методики розв’язування задач, сформувати у них уміння розв’язувати розрахункові задачі з хімії різних типів, передбачених чинними навчальними програмами для загальноосвітніх навчальних закладів, розвивати здатність трансформувати набуті уміння у шкільну практику.</w:t>
            </w:r>
          </w:p>
          <w:p w14:paraId="40907A1B" w14:textId="77777777" w:rsidR="00EE1744" w:rsidRPr="00C3651A" w:rsidRDefault="00EE1744" w:rsidP="00EE174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Завдання:</w:t>
            </w: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</w:p>
          <w:p w14:paraId="01A94404" w14:textId="77777777" w:rsidR="00EE1744" w:rsidRPr="00C3651A" w:rsidRDefault="00EE1744" w:rsidP="00EE174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розкриття наукові засади методики розв’язування розрахункових задач  для навчання учнів хімії;</w:t>
            </w:r>
          </w:p>
          <w:p w14:paraId="55A2F7A3" w14:textId="77777777" w:rsidR="00EE1744" w:rsidRPr="00C3651A" w:rsidRDefault="00EE1744" w:rsidP="00EE174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актуалізація знань студентів з педагогіки, психології, педагогічної творчості;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освоєння студентами теоретичних основ організації навчального процесу;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ознайомлення з 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основними принципами організації навчального процесу в школі;</w:t>
            </w:r>
          </w:p>
          <w:p w14:paraId="68030C2B" w14:textId="77777777" w:rsidR="0085046B" w:rsidRPr="00EB007E" w:rsidRDefault="0085046B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вимогами освітньо-наукової програми </w:t>
            </w:r>
            <w:r w:rsidR="00EE1744"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E1744" w:rsidRPr="0085046B">
              <w:rPr>
                <w:rFonts w:ascii="Times New Roman" w:hAnsi="Times New Roman" w:cs="Times New Roman"/>
                <w:sz w:val="24"/>
                <w:szCs w:val="24"/>
              </w:rPr>
              <w:t>Методи розв`язування розрахункових та експериментальних задач з хімії</w:t>
            </w:r>
            <w:r w:rsidR="00EE1744"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підготовки здобувачів вищої освіти на </w:t>
            </w:r>
            <w:r w:rsidR="00EE1744" w:rsidRPr="00EE1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першому (бакалаврському) рівені</w:t>
            </w: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вищої освіти здобувачі набудуть наступних компетентностей:</w:t>
            </w:r>
          </w:p>
          <w:p w14:paraId="57F6BEC3" w14:textId="77777777" w:rsidR="0085046B" w:rsidRPr="00EB007E" w:rsidRDefault="0085046B" w:rsidP="00CC6D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загальних:</w:t>
            </w:r>
          </w:p>
          <w:p w14:paraId="2CADE855" w14:textId="77777777" w:rsidR="000248FF" w:rsidRPr="002F70B4" w:rsidRDefault="000248FF" w:rsidP="000248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2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36B4CA85" w14:textId="77777777" w:rsidR="00EE1744" w:rsidRDefault="00EE1744" w:rsidP="00CC6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</w:t>
            </w:r>
            <w:r w:rsidRPr="00EE1744">
              <w:rPr>
                <w:rFonts w:ascii="Times New Roman" w:hAnsi="Times New Roman" w:cs="Times New Roman"/>
                <w:i/>
                <w:sz w:val="24"/>
                <w:szCs w:val="24"/>
              </w:rPr>
              <w:t>ахов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их:</w:t>
            </w:r>
          </w:p>
          <w:p w14:paraId="50CA1FF7" w14:textId="2ABA5AEF" w:rsidR="00EE1744" w:rsidRPr="000248FF" w:rsidRDefault="000248FF" w:rsidP="00CC6D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753923CA" w14:textId="77777777" w:rsidR="00AF1B8C" w:rsidRDefault="00AF1B8C" w:rsidP="00CC6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F1B8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14:paraId="55BD39FF" w14:textId="49A4A3C5" w:rsidR="00593936" w:rsidRDefault="00593936" w:rsidP="00CC6D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20EB7A5E" w14:textId="0212BE69" w:rsidR="00593936" w:rsidRDefault="00B75A58" w:rsidP="00CC6D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розв’язувати розрахункові та експериментальні задачі шкільного курсу хімії базової середньої школи різного рівня складності і пояснювати їх розв’язання учням.</w:t>
            </w:r>
          </w:p>
          <w:p w14:paraId="7FE7470A" w14:textId="77777777" w:rsidR="00AF1B8C" w:rsidRPr="00AF1B8C" w:rsidRDefault="00AF1B8C" w:rsidP="00CC6D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F1B8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Програмні результати навчання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14:paraId="71CCEE31" w14:textId="77777777" w:rsidR="00A31C0C" w:rsidRPr="002F70B4" w:rsidRDefault="00A31C0C" w:rsidP="00A31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2C5A827E" w14:textId="77777777" w:rsidR="00A31C0C" w:rsidRPr="002F70B4" w:rsidRDefault="00A31C0C" w:rsidP="00A31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та розуміє основні концепції, теорії та загальну структуру хімічних наук.</w:t>
            </w:r>
          </w:p>
          <w:p w14:paraId="49F6AD91" w14:textId="77777777" w:rsidR="00A31C0C" w:rsidRPr="002F70B4" w:rsidRDefault="00A31C0C" w:rsidP="00A31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ПРН22.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Володіє різними методами розв’язання розрахункових і експериментальних задач з хімії та методикою навчання їх школярів; здатний виконувати хімічний експеримент як засіб навчання.</w:t>
            </w:r>
          </w:p>
          <w:p w14:paraId="15FB9FE0" w14:textId="0529A3E9" w:rsidR="00AF1B8C" w:rsidRPr="00AF1B8C" w:rsidRDefault="00A31C0C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ПРН26.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переносити систему наукових хімічних знань у площину навчального предмета хімії, чітко і логічно розкривати основні теорії та закони хімії.</w:t>
            </w:r>
          </w:p>
          <w:p w14:paraId="713119FB" w14:textId="77777777" w:rsidR="0085046B" w:rsidRPr="00EB007E" w:rsidRDefault="0085046B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0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лекцій:</w:t>
            </w:r>
          </w:p>
          <w:p w14:paraId="03BEA893" w14:textId="77777777" w:rsidR="00AF1B8C" w:rsidRPr="00C3651A" w:rsidRDefault="00AF1B8C" w:rsidP="00AF1B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№1 «Обчислення за хімічною формулою речовини» </w:t>
            </w:r>
          </w:p>
          <w:p w14:paraId="4455C294" w14:textId="77777777" w:rsidR="00AF1B8C" w:rsidRPr="00C3651A" w:rsidRDefault="00AF1B8C" w:rsidP="00AF1B8C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Вступ. Методичні й логічні основи розв'язування хімічних задач. Класифікація хімічних задач. Вимоги до методики розв’язування розрахункових задач. Загальні рекомендації та алгоритм розв’язку. Оформлення розв’язку задачі.</w:t>
            </w:r>
          </w:p>
          <w:p w14:paraId="291683EE" w14:textId="77777777" w:rsidR="00AF1B8C" w:rsidRPr="00C3651A" w:rsidRDefault="00AF1B8C" w:rsidP="00AF1B8C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 хімічні поняття. Основні закони хімії: закон збереження маси речовин, закон сталості складу. Виведення найпростіших формул. Встановлення справжньої формули речовини за додатковими даними.</w:t>
            </w:r>
          </w:p>
          <w:p w14:paraId="5FD004F8" w14:textId="77777777" w:rsidR="00AF1B8C" w:rsidRPr="00C3651A" w:rsidRDefault="00AF1B8C" w:rsidP="00AF1B8C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Газові закони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Молярний об’єм газів. Відносна густина газів.</w:t>
            </w:r>
          </w:p>
          <w:p w14:paraId="4A5B912F" w14:textId="77777777" w:rsidR="00AF1B8C" w:rsidRPr="00C3651A" w:rsidRDefault="00AF1B8C" w:rsidP="00AF1B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Модуль №2 «Розчини» </w:t>
            </w:r>
          </w:p>
          <w:p w14:paraId="35DD91EA" w14:textId="77777777" w:rsidR="00AF1B8C" w:rsidRPr="00C3651A" w:rsidRDefault="00AF1B8C" w:rsidP="00AF1B8C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Поняття про дисперсні системи. Розчинність речовин, її залежність від різних чинників. Насичені й ненасичені, концентровані й розведені розчини. Поняття про кристалогідрати. </w:t>
            </w:r>
          </w:p>
          <w:p w14:paraId="10338FAF" w14:textId="77777777" w:rsidR="00AF1B8C" w:rsidRPr="00C3651A" w:rsidRDefault="00AF1B8C" w:rsidP="00AF1B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концентрації розчину (масова частка, молярність, нормальність). Задачі на змішування розчинів. Застосування різних підходів до розв'язування однієї і тієї ж задачі. Розчинність речовин. Задачі на кристалізацію речовини з розчину при охолодженні. </w:t>
            </w:r>
          </w:p>
          <w:p w14:paraId="251BDF9A" w14:textId="77777777" w:rsidR="00AF1B8C" w:rsidRPr="00C3651A" w:rsidRDefault="00AF1B8C" w:rsidP="00AF1B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№3 «Основні закономірності перебігу хімічних реакцій» </w:t>
            </w:r>
          </w:p>
          <w:p w14:paraId="395DE52C" w14:textId="77777777" w:rsidR="00AF1B8C" w:rsidRPr="00C3651A" w:rsidRDefault="00AF1B8C" w:rsidP="00AF1B8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хімічних реакцій. Окисно-відновні реакції. Складання рівнянь окисно-відновних реакцій методом електронного балансу та методом напівреакцій. Екзотермічні й ендотермічні реакції. Термохімічне рівняння.</w:t>
            </w:r>
          </w:p>
          <w:p w14:paraId="622D94BC" w14:textId="77777777" w:rsidR="00AF1B8C" w:rsidRPr="00C3651A" w:rsidRDefault="00AF1B8C" w:rsidP="00AF1B8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Швидкість хімічної реакції. Закон діючих мас. Закон Вант-Гоффа. Оборотні й необоротні реакції. Хімічна рівновага. Методичні підходи до розв’язування задач такого типу. </w:t>
            </w:r>
          </w:p>
          <w:p w14:paraId="09AFE2A4" w14:textId="77777777" w:rsidR="00AF1B8C" w:rsidRPr="00C3651A" w:rsidRDefault="00AF1B8C" w:rsidP="00AF1B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№ 4 «Обчислення за рівняннями хімічних реакцій» </w:t>
            </w:r>
          </w:p>
          <w:p w14:paraId="14245B9B" w14:textId="29589B26" w:rsidR="0085046B" w:rsidRPr="00EB007E" w:rsidRDefault="00AF1B8C" w:rsidP="00DA1988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5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Основні класи неорганічних сполук</w:t>
            </w:r>
            <w:r w:rsidRPr="00C3651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C3651A">
              <w:rPr>
                <w:rFonts w:ascii="Times New Roman" w:eastAsia="Calibri" w:hAnsi="Times New Roman" w:cs="Times New Roman"/>
                <w:spacing w:val="-4"/>
                <w:kern w:val="19"/>
                <w:sz w:val="24"/>
                <w:szCs w:val="24"/>
                <w:lang w:val="ru-RU" w:eastAsia="ru-RU"/>
              </w:rPr>
              <w:t>Фізичні та х</w:t>
            </w:r>
            <w:r w:rsidRPr="00C3651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імічні властивості</w:t>
            </w:r>
            <w:r w:rsidRPr="00C3651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оксилів, основ, кислот, солей. </w:t>
            </w:r>
            <w:r w:rsidRPr="00C3651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Основні класи органічних сполук</w:t>
            </w:r>
            <w:r w:rsidRPr="00C3651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3651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Фізичні та хімічні властивості органічних сполук.</w:t>
            </w:r>
          </w:p>
        </w:tc>
      </w:tr>
      <w:tr w:rsidR="0085046B" w:rsidRPr="002F1AD2" w14:paraId="6F2BC5CE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587F83EF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2EF541D1" w14:textId="77777777" w:rsidR="00AF1B8C" w:rsidRDefault="00AF1B8C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651A">
              <w:rPr>
                <w:rFonts w:ascii="Times New Roman" w:hAnsi="Times New Roman" w:cs="Times New Roman"/>
                <w:lang w:val="uk-UA"/>
              </w:rPr>
              <w:t xml:space="preserve">Курс закінчується </w:t>
            </w:r>
            <w:r>
              <w:rPr>
                <w:rFonts w:ascii="Times New Roman" w:hAnsi="Times New Roman" w:cs="Times New Roman"/>
                <w:lang w:val="uk-UA"/>
              </w:rPr>
              <w:t>заліком</w:t>
            </w:r>
            <w:r w:rsidRPr="00C3651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1EAA82D" w14:textId="77777777" w:rsidR="0085046B" w:rsidRPr="0087742A" w:rsidRDefault="0085046B" w:rsidP="00CC6D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2427121" w14:textId="77777777" w:rsidR="00AF1B8C" w:rsidRDefault="00AF1B8C" w:rsidP="00AF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Можлива кількість отриманих балів під час практичних занять складає - 30 балів.</w:t>
            </w:r>
          </w:p>
          <w:p w14:paraId="79FAF453" w14:textId="77777777" w:rsidR="00AF1B8C" w:rsidRDefault="00AF1B8C" w:rsidP="00AF1B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Можлива кількість отриманих балів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51A">
              <w:rPr>
                <w:rFonts w:ascii="Times New Roman" w:hAnsi="Times New Roman" w:cs="Times New Roman"/>
                <w:lang w:val="uk-UA"/>
              </w:rPr>
              <w:t xml:space="preserve">модульні </w:t>
            </w:r>
            <w:r w:rsidRPr="00C3651A">
              <w:rPr>
                <w:rFonts w:ascii="Times New Roman" w:hAnsi="Times New Roman" w:cs="Times New Roman"/>
              </w:rPr>
              <w:t xml:space="preserve">контрольні роботи </w:t>
            </w:r>
            <w:r w:rsidRPr="00C3651A">
              <w:rPr>
                <w:rFonts w:ascii="Times New Roman" w:hAnsi="Times New Roman" w:cs="Times New Roman"/>
                <w:lang w:val="uk-UA"/>
              </w:rPr>
              <w:t xml:space="preserve">протягом семестру: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C3651A">
              <w:rPr>
                <w:rFonts w:ascii="Times New Roman" w:hAnsi="Times New Roman" w:cs="Times New Roman"/>
                <w:lang w:val="uk-UA"/>
              </w:rPr>
              <w:t>0 балів.</w:t>
            </w:r>
          </w:p>
          <w:p w14:paraId="2B7BFF60" w14:textId="77777777" w:rsidR="0085046B" w:rsidRDefault="0085046B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семестру.</w:t>
            </w:r>
          </w:p>
          <w:p w14:paraId="4F00DD04" w14:textId="4C7A367D" w:rsidR="0085046B" w:rsidRPr="0027475E" w:rsidRDefault="0085046B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 за наявності поважних причин. Відвідування </w:t>
            </w:r>
            <w:r w:rsidR="00DA1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Pr="00486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занять є обов’язковим. За об’єктивних причин навчання може відбуватись в змішаній формі за погодженням із відповідальними викладачами курсу.</w:t>
            </w:r>
          </w:p>
        </w:tc>
      </w:tr>
      <w:tr w:rsidR="0085046B" w:rsidRPr="002F1AD2" w14:paraId="4044D6C2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7D506A7D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програмне забезпечення дисципліни тощо) </w:t>
            </w:r>
          </w:p>
        </w:tc>
        <w:tc>
          <w:tcPr>
            <w:tcW w:w="6343" w:type="dxa"/>
          </w:tcPr>
          <w:p w14:paraId="496845A6" w14:textId="295231E2" w:rsidR="0085046B" w:rsidRPr="008349B5" w:rsidRDefault="0085046B" w:rsidP="00BE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Лекції проводяться у аудиторії обладнаній мультимедійним проектором.</w:t>
            </w:r>
          </w:p>
        </w:tc>
      </w:tr>
      <w:tr w:rsidR="0085046B" w:rsidRPr="002F1AD2" w14:paraId="4C70A6C3" w14:textId="77777777" w:rsidTr="00CC6D25">
        <w:tc>
          <w:tcPr>
            <w:tcW w:w="3150" w:type="dxa"/>
            <w:shd w:val="clear" w:color="auto" w:fill="D9D9D9" w:themeFill="background1" w:themeFillShade="D9"/>
          </w:tcPr>
          <w:p w14:paraId="2BEFA812" w14:textId="77777777" w:rsidR="0085046B" w:rsidRPr="002F1AD2" w:rsidRDefault="0085046B" w:rsidP="00CC6D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240F7AFB" w14:textId="77777777" w:rsidR="0085046B" w:rsidRDefault="0085046B" w:rsidP="00CC6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  <w:p w14:paraId="00EDAAC1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1.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Барко В.І. Задачі виробничого змісту у викладанні хімії: Посібник для вчителя. -К.: Рад.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школа, 1989. - 96 с.</w:t>
            </w:r>
          </w:p>
          <w:p w14:paraId="38BC711A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2.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Буринська Н.М. Методи розв’язування задач. -К.: Либідь, 1996. - 80 с.</w:t>
            </w:r>
          </w:p>
          <w:p w14:paraId="304BB4C2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студентов пед. ин-тов по биол. и хим. спец. -М.: Просвещение, 1989. - 173 с.</w:t>
            </w:r>
          </w:p>
          <w:p w14:paraId="63625243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3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Кукса С.П. 600 задач з хімії. -Тернопіль: Мандрівець, 1998. - 144 с.</w:t>
            </w:r>
          </w:p>
          <w:p w14:paraId="4DFAC1BC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4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Середа І.П Розв’язування розрахункових задач з хімії. -К.: Радянська школа, 1971. - 168 с.</w:t>
            </w:r>
          </w:p>
          <w:p w14:paraId="27E72AA1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5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Шаповалов А.І. Методика розв’язування задач з хімії. Посібник для вчителя.-К.: Рад. шк.,</w:t>
            </w:r>
          </w:p>
          <w:p w14:paraId="6A5B3A74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1989. - 83 с.</w:t>
            </w:r>
          </w:p>
          <w:p w14:paraId="48DE576C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6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Ярошенко О.Г., Новицька В.І. “Завдання і вправи з хімії”. -К.: Станіца, 2003. - 234 с.</w:t>
            </w:r>
          </w:p>
          <w:p w14:paraId="14CC9790" w14:textId="77777777" w:rsidR="005D48B5" w:rsidRPr="00C3651A" w:rsidRDefault="005D48B5" w:rsidP="005D48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7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Ярошенко О.Г. Перевір, як ти знаєш органічну хімію: Для учнів 10 - 11 кл. загальноосвітніх шкіл та студентів вищ. навч. закладів І - ІІ рівнів акредитації. -К.:</w:t>
            </w:r>
            <w:r w:rsidRPr="00006C2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C365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Станіца, 2000. - 112 с.</w:t>
            </w:r>
          </w:p>
          <w:p w14:paraId="07DF342D" w14:textId="77777777" w:rsidR="005D48B5" w:rsidRDefault="005D48B5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Villányi Attila: Ötösöm lesz kémiából</w:t>
            </w:r>
          </w:p>
          <w:p w14:paraId="18E1530E" w14:textId="77777777" w:rsidR="005D48B5" w:rsidRDefault="005D48B5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Műszaki könyvkiadó Kft., 2016</w:t>
            </w:r>
          </w:p>
          <w:p w14:paraId="173BF61D" w14:textId="77777777" w:rsidR="005D48B5" w:rsidRDefault="005D48B5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D48B5">
              <w:rPr>
                <w:rFonts w:ascii="Times New Roman" w:hAnsi="Times New Roman" w:cs="Times New Roman"/>
                <w:sz w:val="24"/>
                <w:szCs w:val="24"/>
              </w:rPr>
              <w:t>Rózsahegyi Márta, Wajand Judit, Horváth Balázs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Kidolgozott számítási feladatok</w:t>
            </w:r>
          </w:p>
          <w:p w14:paraId="725D6896" w14:textId="77777777" w:rsidR="00037C09" w:rsidRPr="005D48B5" w:rsidRDefault="00037C09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Mozaik Kiadó-Szeged_2022</w:t>
            </w:r>
          </w:p>
          <w:p w14:paraId="04822939" w14:textId="77777777" w:rsidR="0085046B" w:rsidRDefault="0085046B" w:rsidP="00CC6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Електронні інформаційні ресурси</w:t>
            </w:r>
          </w:p>
          <w:p w14:paraId="10742463" w14:textId="77777777" w:rsidR="00037C09" w:rsidRDefault="00000000" w:rsidP="00037C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37C09" w:rsidRPr="008058C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https://mon.gov.ua/uahttps://www.mozaveb.hu</w:t>
              </w:r>
            </w:hyperlink>
          </w:p>
          <w:p w14:paraId="52A491AD" w14:textId="77777777" w:rsidR="005D48B5" w:rsidRDefault="005D48B5" w:rsidP="00037C0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651A">
              <w:rPr>
                <w:rFonts w:ascii="Times New Roman" w:eastAsia="Calibri" w:hAnsi="Times New Roman" w:cs="Times New Roman"/>
                <w:sz w:val="24"/>
                <w:szCs w:val="24"/>
              </w:rPr>
              <w:t>https://tudasbazis.sulinet.hu/hu</w:t>
            </w:r>
          </w:p>
          <w:p w14:paraId="0E757E08" w14:textId="77777777" w:rsidR="0085046B" w:rsidRPr="00453818" w:rsidRDefault="0085046B" w:rsidP="00CC6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A66FA" w14:textId="77777777" w:rsidR="00014767" w:rsidRDefault="00014767"/>
    <w:sectPr w:rsidR="0001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33"/>
    <w:rsid w:val="00014767"/>
    <w:rsid w:val="000248FF"/>
    <w:rsid w:val="00037C09"/>
    <w:rsid w:val="00524306"/>
    <w:rsid w:val="00593936"/>
    <w:rsid w:val="005D48B5"/>
    <w:rsid w:val="0085046B"/>
    <w:rsid w:val="00A31C0C"/>
    <w:rsid w:val="00AF1B8C"/>
    <w:rsid w:val="00B75A58"/>
    <w:rsid w:val="00BE1DBD"/>
    <w:rsid w:val="00DA1988"/>
    <w:rsid w:val="00EE1744"/>
    <w:rsid w:val="00E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6008"/>
  <w15:chartTrackingRefBased/>
  <w15:docId w15:val="{5F27C8D0-36A6-4C20-B140-ED9BF571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https://www.mozav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kjhkgh</dc:creator>
  <cp:keywords/>
  <dc:description/>
  <cp:lastModifiedBy>Misha</cp:lastModifiedBy>
  <cp:revision>8</cp:revision>
  <dcterms:created xsi:type="dcterms:W3CDTF">2024-03-25T14:41:00Z</dcterms:created>
  <dcterms:modified xsi:type="dcterms:W3CDTF">2024-03-27T08:37:00Z</dcterms:modified>
</cp:coreProperties>
</file>