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1F7B3" w14:textId="77777777" w:rsidR="004E2C2F" w:rsidRPr="002F1AD2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1AD2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639"/>
        <w:gridCol w:w="2041"/>
        <w:gridCol w:w="1570"/>
        <w:gridCol w:w="1247"/>
        <w:gridCol w:w="1764"/>
        <w:gridCol w:w="1311"/>
      </w:tblGrid>
      <w:tr w:rsidR="002F1AD2" w:rsidRPr="002F1AD2" w14:paraId="67ABB472" w14:textId="77777777" w:rsidTr="004825D9">
        <w:trPr>
          <w:trHeight w:val="914"/>
        </w:trPr>
        <w:tc>
          <w:tcPr>
            <w:tcW w:w="1819" w:type="dxa"/>
          </w:tcPr>
          <w:p w14:paraId="6D3869E3" w14:textId="77777777" w:rsidR="00A26453" w:rsidRPr="002F1AD2" w:rsidRDefault="00A26453" w:rsidP="00482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</w:tc>
        <w:tc>
          <w:tcPr>
            <w:tcW w:w="1368" w:type="dxa"/>
          </w:tcPr>
          <w:p w14:paraId="28431DD5" w14:textId="77777777" w:rsidR="00A26453" w:rsidRPr="00C17295" w:rsidRDefault="00C17295" w:rsidP="00C1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Перший (бакалаврський) рівень</w:t>
            </w:r>
          </w:p>
        </w:tc>
        <w:tc>
          <w:tcPr>
            <w:tcW w:w="1672" w:type="dxa"/>
          </w:tcPr>
          <w:p w14:paraId="31DC2B4D" w14:textId="77777777"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</w:tcPr>
          <w:p w14:paraId="66760848" w14:textId="77777777" w:rsidR="00A26453" w:rsidRPr="00C17295" w:rsidRDefault="00C17295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824" w:type="dxa"/>
          </w:tcPr>
          <w:p w14:paraId="59288DCB" w14:textId="77777777"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</w:tcPr>
          <w:p w14:paraId="03D48435" w14:textId="77777777" w:rsidR="00D16DA0" w:rsidRPr="004825D9" w:rsidRDefault="00D16DA0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25D9">
              <w:rPr>
                <w:rFonts w:ascii="Times New Roman" w:hAnsi="Times New Roman" w:cs="Times New Roman"/>
                <w:b/>
                <w:sz w:val="24"/>
                <w:szCs w:val="24"/>
              </w:rPr>
              <w:t>II/</w:t>
            </w:r>
            <w:r w:rsidR="004825D9" w:rsidRPr="004825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  <w:p w14:paraId="0AE0A878" w14:textId="77777777" w:rsidR="00A26453" w:rsidRPr="00C17295" w:rsidRDefault="00C17295" w:rsidP="0048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="004825D9" w:rsidRPr="004825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ІІ/5</w:t>
            </w:r>
          </w:p>
        </w:tc>
      </w:tr>
    </w:tbl>
    <w:p w14:paraId="413663BD" w14:textId="77777777" w:rsidR="004825D9" w:rsidRDefault="004825D9" w:rsidP="00392D2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E9D19D5" w14:textId="77777777" w:rsidR="00526D7D" w:rsidRPr="002F1AD2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2F1AD2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r w:rsidRPr="002F1AD2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2F1AD2" w:rsidRPr="002F1AD2" w14:paraId="70DA4398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BF4E7DB" w14:textId="77777777" w:rsidR="00392D23" w:rsidRPr="002F1AD2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6F907B" w14:textId="77777777" w:rsidR="00392D23" w:rsidRPr="002F1AD2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14:paraId="0C0682F2" w14:textId="77777777" w:rsidR="00392D23" w:rsidRPr="002F1AD2" w:rsidRDefault="00AA2F8F" w:rsidP="00392D23">
            <w:pPr>
              <w:rPr>
                <w:lang w:val="uk-UA"/>
              </w:rPr>
            </w:pPr>
            <w:r w:rsidRPr="00D03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навчання хімії</w:t>
            </w:r>
          </w:p>
        </w:tc>
      </w:tr>
      <w:tr w:rsidR="002F1AD2" w:rsidRPr="002F1AD2" w14:paraId="481E653E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00601B94" w14:textId="77777777"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0EABE6" w14:textId="77777777"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14:paraId="07E553B4" w14:textId="77777777" w:rsidR="00C17295" w:rsidRPr="009C4B38" w:rsidRDefault="00C17295" w:rsidP="00C172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Кафедра бiологiї та хiмiї</w:t>
            </w:r>
          </w:p>
          <w:p w14:paraId="03C8C446" w14:textId="77777777" w:rsidR="00392D23" w:rsidRPr="002F1AD2" w:rsidRDefault="00392D23" w:rsidP="00392D23">
            <w:pPr>
              <w:rPr>
                <w:lang w:val="uk-UA"/>
              </w:rPr>
            </w:pPr>
          </w:p>
        </w:tc>
      </w:tr>
      <w:tr w:rsidR="002F1AD2" w:rsidRPr="002F1AD2" w14:paraId="61B50635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511ED95F" w14:textId="77777777"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85EB94" w14:textId="77777777"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343" w:type="dxa"/>
          </w:tcPr>
          <w:p w14:paraId="57AB4CFA" w14:textId="77777777" w:rsidR="00392D23" w:rsidRPr="002F1AD2" w:rsidRDefault="00381B78" w:rsidP="00392D23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014 </w:t>
            </w:r>
            <w:r w:rsidR="00C17295" w:rsidRPr="00CB124E">
              <w:rPr>
                <w:rFonts w:ascii="Times New Roman" w:hAnsi="Times New Roman" w:cs="Times New Roman"/>
                <w:lang w:val="uk-UA"/>
              </w:rPr>
              <w:t>Середня осв</w:t>
            </w:r>
            <w:r w:rsidR="00C17295">
              <w:rPr>
                <w:rFonts w:ascii="Times New Roman" w:hAnsi="Times New Roman" w:cs="Times New Roman"/>
                <w:lang w:val="uk-UA"/>
              </w:rPr>
              <w:t>і</w:t>
            </w:r>
            <w:r w:rsidR="00C17295" w:rsidRPr="00CB124E">
              <w:rPr>
                <w:rFonts w:ascii="Times New Roman" w:hAnsi="Times New Roman" w:cs="Times New Roman"/>
                <w:lang w:val="uk-UA"/>
              </w:rPr>
              <w:t>та (</w:t>
            </w:r>
            <w:r w:rsidR="00C17295">
              <w:rPr>
                <w:rFonts w:ascii="Times New Roman" w:hAnsi="Times New Roman" w:cs="Times New Roman"/>
                <w:lang w:val="uk-UA"/>
              </w:rPr>
              <w:t>Хімія</w:t>
            </w:r>
            <w:r w:rsidR="00C17295" w:rsidRPr="00CB124E">
              <w:rPr>
                <w:rFonts w:ascii="Times New Roman" w:hAnsi="Times New Roman" w:cs="Times New Roman"/>
                <w:lang w:val="uk-UA"/>
              </w:rPr>
              <w:t>)</w:t>
            </w:r>
          </w:p>
        </w:tc>
      </w:tr>
      <w:tr w:rsidR="002F1AD2" w:rsidRPr="002F1AD2" w14:paraId="622FC85B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8BC14F7" w14:textId="77777777" w:rsidR="00E47EA8" w:rsidRPr="002F1AD2" w:rsidRDefault="00E237EC" w:rsidP="00AC4C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практичні/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семінарські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="0070568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лабораторні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6343" w:type="dxa"/>
          </w:tcPr>
          <w:p w14:paraId="627D2F48" w14:textId="77777777" w:rsidR="00AA2F8F" w:rsidRPr="002F1AD2" w:rsidRDefault="00E237EC" w:rsidP="00AA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AA2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AA2F8F"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бов’язкова</w:t>
            </w:r>
          </w:p>
          <w:p w14:paraId="778BB831" w14:textId="77777777" w:rsidR="007E3FBF" w:rsidRPr="002F1AD2" w:rsidRDefault="007E3FBF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17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F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626243D" w14:textId="77777777" w:rsidR="00705681" w:rsidRPr="002F1AD2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17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D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40491C7D" w14:textId="77777777" w:rsidR="00705681" w:rsidRPr="002F1AD2" w:rsidRDefault="00C9473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05681"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рактичні</w:t>
            </w: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(семінарські)</w:t>
            </w:r>
            <w:r w:rsidR="00705681"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</w:t>
            </w:r>
            <w:r w:rsidR="00705681"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17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DA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14:paraId="4FD6C991" w14:textId="23265A59" w:rsidR="00705681" w:rsidRPr="002531A0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531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  <w:p w14:paraId="7DFF9790" w14:textId="77777777" w:rsidR="00705681" w:rsidRPr="002F1AD2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17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DA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 w14:paraId="516671FD" w14:textId="77777777" w:rsidR="00705681" w:rsidRPr="002F1AD2" w:rsidRDefault="00705681" w:rsidP="001425FD"/>
        </w:tc>
      </w:tr>
      <w:tr w:rsidR="002F1AD2" w:rsidRPr="002F1AD2" w14:paraId="17FCC220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5E2635E8" w14:textId="77777777" w:rsidR="00E47EA8" w:rsidRPr="002F1AD2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(імена, прізвища, наукові ступені і звання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3" w:type="dxa"/>
          </w:tcPr>
          <w:p w14:paraId="7AEEDFDE" w14:textId="77777777" w:rsidR="00C17295" w:rsidRPr="00C17295" w:rsidRDefault="00C17295" w:rsidP="00C1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 Єва Олександрівна</w:t>
            </w:r>
          </w:p>
          <w:p w14:paraId="390F38A4" w14:textId="77777777" w:rsidR="00392D23" w:rsidRPr="002F1AD2" w:rsidRDefault="00C17295" w:rsidP="00C17295">
            <w:r w:rsidRPr="00C17295">
              <w:rPr>
                <w:rFonts w:ascii="Times New Roman" w:hAnsi="Times New Roman" w:cs="Times New Roman"/>
                <w:sz w:val="24"/>
                <w:szCs w:val="24"/>
              </w:rPr>
              <w:t>bak.eva@kmf.org.ua</w:t>
            </w:r>
          </w:p>
        </w:tc>
      </w:tr>
      <w:tr w:rsidR="002F1AD2" w:rsidRPr="00C17295" w14:paraId="726BE5C4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56AFF13B" w14:textId="77777777" w:rsidR="007B1F80" w:rsidRPr="002F1AD2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 навчальної дисципліни</w:t>
            </w:r>
            <w:bookmarkEnd w:id="0"/>
          </w:p>
        </w:tc>
        <w:tc>
          <w:tcPr>
            <w:tcW w:w="6343" w:type="dxa"/>
          </w:tcPr>
          <w:p w14:paraId="36C659B2" w14:textId="77777777" w:rsidR="00392D23" w:rsidRPr="00AA2F8F" w:rsidRDefault="00C17295" w:rsidP="00486149">
            <w:pPr>
              <w:rPr>
                <w:lang w:val="uk-UA"/>
              </w:rPr>
            </w:pPr>
            <w:r w:rsidRPr="00274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 «</w:t>
            </w:r>
            <w:r w:rsidR="00AA2F8F" w:rsidRPr="00D03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навчання хімії</w:t>
            </w:r>
            <w:r w:rsidRPr="00274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базується на </w:t>
            </w:r>
            <w:r w:rsidR="00DF7B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теоретичних </w:t>
            </w:r>
            <w:r w:rsidR="00B82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="00DF7B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експериментальних методах</w:t>
            </w:r>
            <w:r w:rsidR="00AA2F8F" w:rsidRPr="00AA2F8F">
              <w:rPr>
                <w:rStyle w:val="fontstyle01"/>
                <w:sz w:val="24"/>
                <w:szCs w:val="24"/>
              </w:rPr>
              <w:t xml:space="preserve"> педагогіки, психології</w:t>
            </w:r>
            <w:r w:rsidR="00486149">
              <w:rPr>
                <w:rStyle w:val="fontstyle01"/>
                <w:sz w:val="24"/>
                <w:szCs w:val="24"/>
                <w:lang w:val="uk-UA"/>
              </w:rPr>
              <w:t xml:space="preserve">, </w:t>
            </w:r>
            <w:r w:rsidR="00486149" w:rsidRPr="00486149">
              <w:rPr>
                <w:rStyle w:val="fontstyle01"/>
                <w:sz w:val="24"/>
                <w:szCs w:val="24"/>
                <w:lang w:val="uk-UA"/>
              </w:rPr>
              <w:t>з</w:t>
            </w:r>
            <w:r w:rsidR="00486149" w:rsidRPr="00486149">
              <w:rPr>
                <w:rFonts w:ascii="Times New Roman" w:hAnsi="Times New Roman" w:cs="Times New Roman"/>
                <w:sz w:val="24"/>
                <w:szCs w:val="24"/>
              </w:rPr>
              <w:t>агальн</w:t>
            </w:r>
            <w:r w:rsidR="00486149" w:rsidRPr="00486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="00486149" w:rsidRPr="00486149">
              <w:rPr>
                <w:rFonts w:ascii="Times New Roman" w:hAnsi="Times New Roman" w:cs="Times New Roman"/>
                <w:sz w:val="24"/>
                <w:szCs w:val="24"/>
              </w:rPr>
              <w:t xml:space="preserve"> та неорганічн</w:t>
            </w:r>
            <w:r w:rsidR="00486149" w:rsidRPr="00486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="00486149" w:rsidRPr="00486149">
              <w:rPr>
                <w:rFonts w:ascii="Times New Roman" w:hAnsi="Times New Roman" w:cs="Times New Roman"/>
                <w:sz w:val="24"/>
                <w:szCs w:val="24"/>
              </w:rPr>
              <w:t xml:space="preserve"> хімі</w:t>
            </w:r>
            <w:r w:rsidR="00486149" w:rsidRPr="00486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ї, а</w:t>
            </w:r>
            <w:r w:rsidR="00486149" w:rsidRPr="00486149">
              <w:rPr>
                <w:rFonts w:ascii="Times New Roman" w:hAnsi="Times New Roman" w:cs="Times New Roman"/>
                <w:sz w:val="24"/>
                <w:szCs w:val="24"/>
              </w:rPr>
              <w:t>налітичн</w:t>
            </w:r>
            <w:r w:rsidR="00486149" w:rsidRPr="00486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аї</w:t>
            </w:r>
            <w:r w:rsidR="00486149" w:rsidRPr="00486149">
              <w:rPr>
                <w:rFonts w:ascii="Times New Roman" w:hAnsi="Times New Roman" w:cs="Times New Roman"/>
                <w:sz w:val="24"/>
                <w:szCs w:val="24"/>
              </w:rPr>
              <w:t xml:space="preserve"> хімі</w:t>
            </w:r>
            <w:r w:rsidR="00486149" w:rsidRPr="00486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486149" w:rsidRPr="00486149">
              <w:rPr>
                <w:rFonts w:ascii="Times New Roman" w:hAnsi="Times New Roman" w:cs="Times New Roman"/>
                <w:sz w:val="24"/>
                <w:szCs w:val="24"/>
              </w:rPr>
              <w:t xml:space="preserve"> та інструментальні методи хімічного аналізу</w:t>
            </w:r>
            <w:r w:rsidR="00486149" w:rsidRPr="00486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</w:t>
            </w:r>
            <w:r w:rsidR="00486149" w:rsidRPr="00486149">
              <w:rPr>
                <w:rFonts w:ascii="Times New Roman" w:hAnsi="Times New Roman" w:cs="Times New Roman"/>
                <w:sz w:val="24"/>
                <w:szCs w:val="24"/>
              </w:rPr>
              <w:t>рганічна хімія</w:t>
            </w:r>
            <w:r w:rsidR="00486149" w:rsidRPr="00486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F1AD2" w:rsidRPr="002F1AD2" w14:paraId="5D852D06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05A83D2" w14:textId="77777777" w:rsidR="007B1F80" w:rsidRPr="002F1AD2" w:rsidRDefault="007B1F80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мета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завдання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очікувані програмні результати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загальні та фахові компетентності, 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дисципліни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343" w:type="dxa"/>
          </w:tcPr>
          <w:p w14:paraId="1B7FCD42" w14:textId="77777777" w:rsidR="00CF306F" w:rsidRPr="00EB007E" w:rsidRDefault="00CF306F" w:rsidP="00CF30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00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«</w:t>
            </w:r>
            <w:r w:rsidRPr="00D03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навчання хімії</w:t>
            </w:r>
            <w:r w:rsidRPr="00EB00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належить до переліку обов’язкових навчальних дисциплін зі спеціальності </w:t>
            </w:r>
            <w:r w:rsidRPr="00EB007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</w:t>
            </w:r>
            <w:r w:rsidRPr="00EB007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B124E">
              <w:rPr>
                <w:rFonts w:ascii="Times New Roman" w:hAnsi="Times New Roman" w:cs="Times New Roman"/>
                <w:lang w:val="uk-UA"/>
              </w:rPr>
              <w:t>Середня осв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CB124E">
              <w:rPr>
                <w:rFonts w:ascii="Times New Roman" w:hAnsi="Times New Roman" w:cs="Times New Roman"/>
                <w:lang w:val="uk-UA"/>
              </w:rPr>
              <w:t>та (</w:t>
            </w:r>
            <w:r>
              <w:rPr>
                <w:rFonts w:ascii="Times New Roman" w:hAnsi="Times New Roman" w:cs="Times New Roman"/>
                <w:lang w:val="uk-UA"/>
              </w:rPr>
              <w:t>Хімія</w:t>
            </w:r>
            <w:r w:rsidRPr="00CB124E">
              <w:rPr>
                <w:rFonts w:ascii="Times New Roman" w:hAnsi="Times New Roman" w:cs="Times New Roman"/>
                <w:lang w:val="uk-UA"/>
              </w:rPr>
              <w:t>)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EB00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0F218C6" w14:textId="77777777" w:rsidR="00DF7B3F" w:rsidRPr="003A1073" w:rsidRDefault="00DF7B3F" w:rsidP="00DF7B3F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A1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Мета:</w:t>
            </w:r>
          </w:p>
          <w:p w14:paraId="32AD1575" w14:textId="77777777" w:rsidR="00DF7B3F" w:rsidRPr="003A1073" w:rsidRDefault="00DF7B3F" w:rsidP="00DF7B3F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10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Курс «Методика навчання хімії» покликаний забезпечити методичну підготовку студентів до роботи в освітніх закладах: здійснення методичної підготовки студентів до навчання учнів хімії, що полягає у свідомому засвоєнню студентами науково-теоретичних основ їх професійної кваліфікації - вчителя хімії; оволодіння студентами методичними знаннями, уміннями й навичками здійснення навчання, виховання та розвитку учнів у процесі викладання хімії.</w:t>
            </w:r>
          </w:p>
          <w:p w14:paraId="351D05D1" w14:textId="77777777" w:rsidR="00DF7B3F" w:rsidRPr="003A1073" w:rsidRDefault="00DF7B3F" w:rsidP="00CF306F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1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Завдання</w:t>
            </w:r>
            <w:r w:rsidRPr="003A1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A1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A10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розкриття наукові засади методики навчання учнів хімії та перспективи її подальшого розвитку;</w:t>
            </w:r>
            <w:r w:rsidR="00CF3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A10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актуалізація знань студентів з педагогіки, психології, педагогічної творчості;</w:t>
            </w:r>
            <w:r w:rsidR="00CF3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A10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освоєння студентами теоретичних основ організації навчального процесу;</w:t>
            </w:r>
            <w:r w:rsidR="00CF3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A10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ознайомлення з </w:t>
            </w:r>
            <w:r w:rsidRPr="003A10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основними принципами організації навчального процесу;</w:t>
            </w:r>
            <w:r w:rsidR="00CF3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A10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вивчення теоретичних основ змісту шкільної хімічної освіти, його системи і структури;</w:t>
            </w:r>
            <w:r w:rsidR="00CF3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A10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освоєння теоретичних основ викладання хімії </w:t>
            </w:r>
            <w:r w:rsidR="009808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</w:t>
            </w:r>
            <w:r w:rsidRPr="003A10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навчальному закладі як процесу навчання, розвитку та виховання учнів;</w:t>
            </w:r>
            <w:r w:rsidR="00CF3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A10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методичних умінь студентів планувати, проводити та аналізувати навчальні заняття з хімії;</w:t>
            </w:r>
            <w:r w:rsidR="00CF3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A10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 переваги сучасних підходів і технологій навчання хімії;</w:t>
            </w:r>
          </w:p>
          <w:p w14:paraId="3574F460" w14:textId="77777777" w:rsidR="00381B78" w:rsidRDefault="00381B78" w:rsidP="00381B7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EB00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загальн</w:t>
            </w:r>
            <w:r w:rsidR="006B29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і</w:t>
            </w:r>
            <w:r w:rsidRPr="00EB00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:</w:t>
            </w:r>
          </w:p>
          <w:p w14:paraId="09833259" w14:textId="77777777" w:rsidR="00477710" w:rsidRPr="002F70B4" w:rsidRDefault="00477710" w:rsidP="00477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ЗК1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Здатність до абстрактного мислення, аналізу та синтезу, до застосування знань у практичних ситуаціях.</w:t>
            </w:r>
          </w:p>
          <w:p w14:paraId="092F2CEB" w14:textId="77777777" w:rsidR="00477710" w:rsidRPr="002F70B4" w:rsidRDefault="00477710" w:rsidP="004777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ЗК2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Знання й розуміння </w:t>
            </w:r>
            <w:r w:rsidRPr="002F7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основних теорій, концепцій, вчення хімічної науки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професійної діяльності.</w:t>
            </w:r>
          </w:p>
          <w:p w14:paraId="71DAE9C4" w14:textId="77777777" w:rsidR="00477710" w:rsidRPr="002F70B4" w:rsidRDefault="00477710" w:rsidP="00477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ЗК3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Здатність спілкуватися державною мовою як усно, так і письмово, до комунікації іноземною мовою на теми по хімічним спеціальностям.</w:t>
            </w:r>
          </w:p>
          <w:p w14:paraId="3F78EB43" w14:textId="77777777" w:rsidR="00D326DA" w:rsidRDefault="00477710" w:rsidP="0025200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ЗК10.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Здатність поважати різноманітність і мультикультурність суспільства, усвідомлювати необхідність рівних можливостей для всіх учасників освітнього процесу</w:t>
            </w:r>
          </w:p>
          <w:p w14:paraId="1A5EE617" w14:textId="3F15B977" w:rsidR="00252009" w:rsidRPr="00252009" w:rsidRDefault="00252009" w:rsidP="0025200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5200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фахов</w:t>
            </w:r>
            <w:r w:rsidR="006B29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і</w:t>
            </w:r>
            <w:r w:rsidRPr="0025200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:</w:t>
            </w:r>
          </w:p>
          <w:p w14:paraId="6E1D497F" w14:textId="77777777" w:rsidR="00D326DA" w:rsidRPr="002F70B4" w:rsidRDefault="00D326DA" w:rsidP="00D32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ФК1.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Здатність перенесення системи наукових знань у професійну діяльність та в площину навчального предмету.</w:t>
            </w:r>
          </w:p>
          <w:p w14:paraId="74999055" w14:textId="77777777" w:rsidR="00D326DA" w:rsidRPr="002F70B4" w:rsidRDefault="00D326DA" w:rsidP="00D32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ФК2.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Здатність забезпечувати навчання учнів державною мовою; формувати та розвивати їх мовно-комунікативні уміння і навички в області хімії.</w:t>
            </w:r>
          </w:p>
          <w:p w14:paraId="42430F2E" w14:textId="77777777" w:rsidR="00D326DA" w:rsidRPr="002F70B4" w:rsidRDefault="00D326DA" w:rsidP="00D32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ФК3.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Здатність здійснювати цілепокладання, планування та проєктування процесів навчання і виховання учнів з урахуванням їх вікових та індивідуальних особливостей,  освітніх потреб і можливостей; добирати та застосовувати ефективні методики й технології навчання, виховання і розвитку учнів.</w:t>
            </w:r>
          </w:p>
          <w:p w14:paraId="21AA2CC2" w14:textId="77777777" w:rsidR="00D326DA" w:rsidRPr="002F70B4" w:rsidRDefault="00D326DA" w:rsidP="00CB6F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ФК4.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Здатність формувати і розвивати в учнів ключові та предметні компетентності засобами навчального предмету та інтегрованого навчання; формувати в них ціннісне ставлення, розвивати критичне мислення.</w:t>
            </w:r>
          </w:p>
          <w:p w14:paraId="1883C82D" w14:textId="77777777" w:rsidR="00D326DA" w:rsidRPr="002F70B4" w:rsidRDefault="00D326DA" w:rsidP="00CB6F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ФК5.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Здатність здійснювати об’єктивний контроль і оцінювання рівня навчальних досягнень учнів на засадах компетентнісного підходу, аналізувати результати їхнього навчання.</w:t>
            </w:r>
          </w:p>
          <w:p w14:paraId="3E6E9E7A" w14:textId="77777777" w:rsidR="00D326DA" w:rsidRDefault="00D326DA" w:rsidP="00CB6F6D">
            <w:pPr>
              <w:widowControl w:val="0"/>
              <w:tabs>
                <w:tab w:val="left" w:pos="9214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ФК9.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Здатність аналізувати власну педагогічну діяльність та її результати, здійснювати об’єктивну самооцінку і самокорекцію своїх професійних якостей.</w:t>
            </w:r>
          </w:p>
          <w:p w14:paraId="6AC9DC97" w14:textId="0B9A6DB0" w:rsidR="00DC2AB1" w:rsidRDefault="00252009" w:rsidP="00CB6F6D">
            <w:pPr>
              <w:widowControl w:val="0"/>
              <w:tabs>
                <w:tab w:val="left" w:pos="9214"/>
              </w:tabs>
              <w:ind w:right="125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25200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Пр</w:t>
            </w:r>
            <w:r w:rsidR="00DC2AB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едметні:</w:t>
            </w:r>
          </w:p>
          <w:p w14:paraId="429FC357" w14:textId="75E6D214" w:rsidR="00C139D0" w:rsidRDefault="002A6772" w:rsidP="00CB6F6D">
            <w:pPr>
              <w:widowControl w:val="0"/>
              <w:tabs>
                <w:tab w:val="left" w:pos="9214"/>
              </w:tabs>
              <w:ind w:righ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ПК 1.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користуватися символікою і сучасною термінологією хімічних наук.</w:t>
            </w:r>
          </w:p>
          <w:p w14:paraId="3CDDC94D" w14:textId="77777777" w:rsidR="00CB6F6D" w:rsidRDefault="00C64C68" w:rsidP="00CB6F6D">
            <w:pPr>
              <w:widowControl w:val="0"/>
              <w:tabs>
                <w:tab w:val="left" w:pos="9214"/>
              </w:tabs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ПК 5.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чітко й логічно відтворювати основні теорії та закони хімії, оцінювати нові відомості й інтерпретації в контексті формування в учнів цілісної природничо-наукової картини світу відповідно до вимог Державного стандарту базової і повної загальної середньої освіти (Природнича освітня галузь)</w:t>
            </w:r>
          </w:p>
          <w:p w14:paraId="05629924" w14:textId="06E6B846" w:rsidR="00C139D0" w:rsidRDefault="00CB6F6D" w:rsidP="00C139D0">
            <w:pPr>
              <w:widowControl w:val="0"/>
              <w:tabs>
                <w:tab w:val="left" w:pos="9214"/>
              </w:tabs>
              <w:ind w:right="12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ПК 6.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здійснювати добір методів і засобів навчання хімії, спрямованих на розвиток здібностей учнів на основі психолого-педагогічної характеристики класу.</w:t>
            </w:r>
          </w:p>
          <w:p w14:paraId="3299A098" w14:textId="77777777" w:rsidR="00C139D0" w:rsidRDefault="00C139D0" w:rsidP="00C139D0">
            <w:pPr>
              <w:widowControl w:val="0"/>
              <w:tabs>
                <w:tab w:val="left" w:pos="9214"/>
              </w:tabs>
              <w:ind w:right="125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C139D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Програмні результати навчання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:</w:t>
            </w:r>
          </w:p>
          <w:p w14:paraId="6A835B14" w14:textId="77777777" w:rsidR="00F91DC7" w:rsidRPr="002F70B4" w:rsidRDefault="00F91DC7" w:rsidP="00F91D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ПРН3.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Називає і аналізує методи цілепокладання, планування та проєктування процесів навчання і виховання учнів на основі компетентнісного підходу з урахуванням їх освітніх потреб; класифікує форми, методи і засоби навчання предмету в закладах загальної середньої освіти, закладах фахової передвищої освіти.</w:t>
            </w:r>
          </w:p>
          <w:p w14:paraId="4C4A0879" w14:textId="77777777" w:rsidR="00F91DC7" w:rsidRPr="002F70B4" w:rsidRDefault="00F91DC7" w:rsidP="00F91D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ПРН4.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Здійснює добір і застосовує сучасні освітні технології та методики для формування предметних компетентностей учнів; критично оцінює результати їх навчання та ефективність уроку.</w:t>
            </w:r>
          </w:p>
          <w:p w14:paraId="5685E354" w14:textId="77777777" w:rsidR="00F91DC7" w:rsidRPr="002F70B4" w:rsidRDefault="00F91DC7" w:rsidP="00F91D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ПРН9.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Застосовує сучасні інформаційно-комунікаційні та цифрові технології у професійній діяльності.</w:t>
            </w:r>
          </w:p>
          <w:p w14:paraId="7BAAA4D8" w14:textId="77777777" w:rsidR="00F91DC7" w:rsidRPr="002F70B4" w:rsidRDefault="00F91DC7" w:rsidP="00F91D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ПРН12.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Аналізує власну педагогічну діяльність та її результати, здійснює об’єктивну самооцінку і самокорекцію своїх професійних якостей.</w:t>
            </w:r>
          </w:p>
          <w:p w14:paraId="3383E9A6" w14:textId="77777777" w:rsidR="00F91DC7" w:rsidRPr="002F70B4" w:rsidRDefault="00F91DC7" w:rsidP="00F91D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ПРН21.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Знає, розуміє і демонструє здатність  реалізовувати сучасні методики навчання хімії для виконання освітньої програми в закладах загальної середньої освіти, закладах фахової передвищої освіти.</w:t>
            </w:r>
          </w:p>
          <w:p w14:paraId="3E197EB1" w14:textId="77777777" w:rsidR="00F91DC7" w:rsidRPr="002F70B4" w:rsidRDefault="00F91DC7" w:rsidP="00F91DC7">
            <w:pPr>
              <w:widowControl w:val="0"/>
              <w:tabs>
                <w:tab w:val="left" w:pos="9214"/>
              </w:tabs>
              <w:ind w:right="125"/>
              <w:jc w:val="both"/>
              <w:rPr>
                <w:rFonts w:ascii="Times New Roman" w:hAnsi="Times New Roman" w:cs="Times New Roman"/>
                <w:dstrike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ПРН23.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Добирає міжпредметні зв’язки курсів хімії в закладах загальної середньої освіти, закладах фахової передвищої освіти з метою формування в учнів природничо-наукової компетентності відповідно до вимог Державного стандарту базової і повної загальної середньої освіти (Природнича освітня галузь).</w:t>
            </w:r>
          </w:p>
          <w:p w14:paraId="244534C5" w14:textId="7E4A2009" w:rsidR="00B473C5" w:rsidRDefault="00F91DC7" w:rsidP="00F91DC7">
            <w:pPr>
              <w:widowControl w:val="0"/>
              <w:tabs>
                <w:tab w:val="left" w:pos="9214"/>
              </w:tabs>
              <w:ind w:right="12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ПРН26.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Уміє переносити систему наукових хімічних знань у площину навчального предмета хімії, чітко і логічно розкривати основні теорії та закони хімії.</w:t>
            </w:r>
          </w:p>
          <w:p w14:paraId="0E061E18" w14:textId="77777777" w:rsidR="009D1DFB" w:rsidRPr="009D1DFB" w:rsidRDefault="009D1DFB" w:rsidP="008D6E6C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1D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Тематика </w:t>
            </w:r>
            <w:r w:rsidRPr="009D1D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лекцій</w:t>
            </w:r>
          </w:p>
          <w:p w14:paraId="1BBD3EDC" w14:textId="77777777" w:rsidR="009D1DFB" w:rsidRPr="00B45CB6" w:rsidRDefault="009D1DFB" w:rsidP="009D1DF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45CB6">
              <w:rPr>
                <w:rFonts w:ascii="Times New Roman" w:hAnsi="Times New Roman" w:cs="Times New Roman"/>
                <w:b/>
                <w:bCs/>
                <w:lang w:val="uk-UA"/>
              </w:rPr>
              <w:t>Змістовий модуль 1</w:t>
            </w:r>
            <w:r w:rsidRPr="00B45CB6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B45CB6">
              <w:rPr>
                <w:rFonts w:ascii="Times New Roman" w:hAnsi="Times New Roman" w:cs="Times New Roman"/>
                <w:b/>
                <w:lang w:val="uk-UA"/>
              </w:rPr>
              <w:t>Зміст та організація процесу навчання хімії.</w:t>
            </w:r>
          </w:p>
          <w:p w14:paraId="462143FB" w14:textId="77777777" w:rsidR="009D1DFB" w:rsidRPr="00B45CB6" w:rsidRDefault="009D1DFB" w:rsidP="009D1D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5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 Методика навчання хімії як наука і навчальний предмет у педагогічних закладах.</w:t>
            </w:r>
          </w:p>
          <w:p w14:paraId="0539C7A8" w14:textId="77777777" w:rsidR="009D1DFB" w:rsidRPr="00B45CB6" w:rsidRDefault="009D1DFB" w:rsidP="009D1D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5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 Організаційні форми навчальної діяльності учнів. Види планувань навчального процесу з хімії.</w:t>
            </w:r>
          </w:p>
          <w:p w14:paraId="14AD38D9" w14:textId="77777777" w:rsidR="009D1DFB" w:rsidRPr="00B45CB6" w:rsidRDefault="009D1DFB" w:rsidP="009D1D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5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3 Структура і зміст шкільної хімічної освіти. </w:t>
            </w:r>
          </w:p>
          <w:p w14:paraId="546A94E1" w14:textId="77777777" w:rsidR="009D1DFB" w:rsidRPr="00B45CB6" w:rsidRDefault="009D1DFB" w:rsidP="009D1D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5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 Методи навчання учнів хімії.</w:t>
            </w:r>
          </w:p>
          <w:p w14:paraId="17DE507C" w14:textId="77777777" w:rsidR="009D1DFB" w:rsidRPr="00B45CB6" w:rsidRDefault="009D1DFB" w:rsidP="009D1D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5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5. Підготовка вчителя до уроку, його проведення і аналіз.</w:t>
            </w:r>
          </w:p>
          <w:p w14:paraId="46C2693B" w14:textId="77777777" w:rsidR="009D1DFB" w:rsidRPr="00B45CB6" w:rsidRDefault="009D1DFB" w:rsidP="009D1D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5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6. Засоби навчання хімії. </w:t>
            </w:r>
          </w:p>
          <w:p w14:paraId="2B4BE183" w14:textId="77777777" w:rsidR="009D1DFB" w:rsidRPr="00B45CB6" w:rsidRDefault="009D1DFB" w:rsidP="009D1D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5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7. Контроль та оцінювання навчальних досягнень школярів.</w:t>
            </w:r>
          </w:p>
          <w:p w14:paraId="191739B5" w14:textId="77777777" w:rsidR="009D1DFB" w:rsidRPr="00B45CB6" w:rsidRDefault="009D1DFB" w:rsidP="009D1DF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45CB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Змістовий модуль </w:t>
            </w:r>
            <w:r w:rsidRPr="00B45CB6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Pr="00B45CB6">
              <w:rPr>
                <w:rFonts w:ascii="Times New Roman" w:hAnsi="Times New Roman" w:cs="Times New Roman"/>
                <w:b/>
                <w:lang w:val="uk-UA"/>
              </w:rPr>
              <w:t>Методика формування основних понять хімії у середній школі.</w:t>
            </w:r>
          </w:p>
          <w:p w14:paraId="2B0D8370" w14:textId="77777777" w:rsidR="009D1DFB" w:rsidRPr="00B45CB6" w:rsidRDefault="009D1DFB" w:rsidP="009D1D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5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8. Методика формування початкових понять в курсі хімії 7 класу. </w:t>
            </w:r>
          </w:p>
          <w:p w14:paraId="40781962" w14:textId="77777777" w:rsidR="009D1DFB" w:rsidRPr="00B45CB6" w:rsidRDefault="009D1DFB" w:rsidP="009D1D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5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9. Методика вивчення теми «Періодичний закон і періодична система хімічних елементів Д.І.Менделєєва. Будова атома». </w:t>
            </w:r>
          </w:p>
          <w:p w14:paraId="5A729932" w14:textId="77777777" w:rsidR="009D1DFB" w:rsidRPr="00B45CB6" w:rsidRDefault="009D1DFB" w:rsidP="009D1D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5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10. Методика формування понять про хімічний зв’язок і будову речовини.</w:t>
            </w:r>
          </w:p>
          <w:p w14:paraId="796BEFC6" w14:textId="77777777" w:rsidR="009D1DFB" w:rsidRPr="00B45CB6" w:rsidRDefault="009D1DFB" w:rsidP="009D1D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5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11. Методика формування понять про основні класи неорганічних сполук.</w:t>
            </w:r>
          </w:p>
          <w:p w14:paraId="3CDA6C40" w14:textId="77777777" w:rsidR="009D1DFB" w:rsidRPr="00B45CB6" w:rsidRDefault="009D1DFB" w:rsidP="009D1D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5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12. Формування понять про розчини, електролітичну дисоціацію та реакції йонного обміну.</w:t>
            </w:r>
          </w:p>
          <w:p w14:paraId="2277ADB1" w14:textId="77777777" w:rsidR="009D1DFB" w:rsidRPr="00B45CB6" w:rsidRDefault="009D1DFB" w:rsidP="009D1D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5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13. Методика формування понять про хімічні реакції.</w:t>
            </w:r>
          </w:p>
          <w:p w14:paraId="644F1BFE" w14:textId="77777777" w:rsidR="009D1DFB" w:rsidRPr="00B45CB6" w:rsidRDefault="009D1DFB" w:rsidP="009D1D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5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14. Методика формування початкових понять про органічні сполуки.</w:t>
            </w:r>
          </w:p>
          <w:p w14:paraId="49F1BE0F" w14:textId="77777777" w:rsidR="009D1DFB" w:rsidRPr="00B45CB6" w:rsidRDefault="009D1DFB" w:rsidP="009D1D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5C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3. Методика вивчення органічних речовин у 10 класі.</w:t>
            </w:r>
          </w:p>
          <w:p w14:paraId="5A1516AC" w14:textId="77777777" w:rsidR="009D1DFB" w:rsidRPr="00B45CB6" w:rsidRDefault="009D1DFB" w:rsidP="009D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B6">
              <w:rPr>
                <w:rFonts w:ascii="Times New Roman" w:hAnsi="Times New Roman" w:cs="Times New Roman"/>
                <w:sz w:val="24"/>
                <w:szCs w:val="24"/>
              </w:rPr>
              <w:t>Тема 15. Методика вивчення теорії будови органічних сполук, вуглеводнів.</w:t>
            </w:r>
          </w:p>
          <w:p w14:paraId="76139A6D" w14:textId="77777777" w:rsidR="009D1DFB" w:rsidRPr="00B45CB6" w:rsidRDefault="009D1DFB" w:rsidP="009D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B6">
              <w:rPr>
                <w:rFonts w:ascii="Times New Roman" w:hAnsi="Times New Roman" w:cs="Times New Roman"/>
                <w:sz w:val="24"/>
                <w:szCs w:val="24"/>
              </w:rPr>
              <w:t xml:space="preserve">Тема 16. Методика вивчення оксигеновмісних органічних речовин.  </w:t>
            </w:r>
          </w:p>
          <w:p w14:paraId="69182E8C" w14:textId="77777777" w:rsidR="009D1DFB" w:rsidRPr="00B45CB6" w:rsidRDefault="009D1DFB" w:rsidP="009D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B6">
              <w:rPr>
                <w:rFonts w:ascii="Times New Roman" w:hAnsi="Times New Roman" w:cs="Times New Roman"/>
                <w:sz w:val="24"/>
                <w:szCs w:val="24"/>
              </w:rPr>
              <w:t>Тема 17. Методика вивчення нітрогеновмісних органічних речовин.</w:t>
            </w:r>
          </w:p>
          <w:p w14:paraId="5FBEA0E0" w14:textId="77777777" w:rsidR="009D1DFB" w:rsidRPr="00B45CB6" w:rsidRDefault="009D1DFB" w:rsidP="009D1D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Змістовий модуль 4 Методика вивчення хімічних елементів та їх сполук у 11 класі.</w:t>
            </w:r>
          </w:p>
          <w:p w14:paraId="2F2EA06C" w14:textId="77777777" w:rsidR="009D1DFB" w:rsidRPr="00B45CB6" w:rsidRDefault="009D1DFB" w:rsidP="009D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B6">
              <w:rPr>
                <w:rFonts w:ascii="Times New Roman" w:hAnsi="Times New Roman" w:cs="Times New Roman"/>
                <w:sz w:val="24"/>
                <w:szCs w:val="24"/>
              </w:rPr>
              <w:t>Тема 18. Повторення й узагальнення знань учнів з неорганічної та органічної хімії.</w:t>
            </w:r>
          </w:p>
          <w:p w14:paraId="2ACD0A0E" w14:textId="77777777" w:rsidR="009D1DFB" w:rsidRPr="00B45CB6" w:rsidRDefault="009D1DFB" w:rsidP="009D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B6">
              <w:rPr>
                <w:rFonts w:ascii="Times New Roman" w:hAnsi="Times New Roman" w:cs="Times New Roman"/>
                <w:sz w:val="24"/>
                <w:szCs w:val="24"/>
              </w:rPr>
              <w:t>Тема 19. Методика вивчення неметалічних елементів.</w:t>
            </w:r>
          </w:p>
          <w:p w14:paraId="1707851E" w14:textId="77777777" w:rsidR="009D1DFB" w:rsidRPr="00B45CB6" w:rsidRDefault="009D1DFB" w:rsidP="009D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B6">
              <w:rPr>
                <w:rFonts w:ascii="Times New Roman" w:hAnsi="Times New Roman" w:cs="Times New Roman"/>
                <w:sz w:val="24"/>
                <w:szCs w:val="24"/>
              </w:rPr>
              <w:t>Тема 20. Методика вивчення металічних елементів.</w:t>
            </w:r>
          </w:p>
          <w:p w14:paraId="168A950F" w14:textId="77777777" w:rsidR="008D6E6C" w:rsidRPr="002F1AD2" w:rsidRDefault="009D1DFB" w:rsidP="009D1DFB">
            <w:pPr>
              <w:tabs>
                <w:tab w:val="left" w:pos="284"/>
                <w:tab w:val="left" w:pos="567"/>
              </w:tabs>
              <w:rPr>
                <w:lang w:val="uk-UA"/>
              </w:rPr>
            </w:pPr>
            <w:r w:rsidRPr="00B45CB6">
              <w:rPr>
                <w:rFonts w:ascii="Times New Roman" w:hAnsi="Times New Roman" w:cs="Times New Roman"/>
                <w:sz w:val="24"/>
                <w:szCs w:val="24"/>
              </w:rPr>
              <w:t>Тема 21. Формування хімічної мови школярів у процесі навчання учнів у школі.</w:t>
            </w:r>
            <w:r w:rsidRPr="00B45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</w:tr>
      <w:tr w:rsidR="002F1AD2" w:rsidRPr="002F1AD2" w14:paraId="101A9B28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591D3172" w14:textId="77777777" w:rsidR="003D470F" w:rsidRPr="002F1AD2" w:rsidRDefault="003D470F" w:rsidP="003D470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234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1"/>
          </w:p>
        </w:tc>
        <w:tc>
          <w:tcPr>
            <w:tcW w:w="6343" w:type="dxa"/>
          </w:tcPr>
          <w:p w14:paraId="4FFEBC54" w14:textId="77777777" w:rsidR="007E4EF7" w:rsidRPr="00CD3AA7" w:rsidRDefault="007E4EF7" w:rsidP="007E4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A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 рейтингових балів за видами контролю:</w:t>
            </w:r>
          </w:p>
          <w:p w14:paraId="7A8BBB27" w14:textId="77777777" w:rsidR="007E4EF7" w:rsidRPr="00CD3AA7" w:rsidRDefault="007E4EF7" w:rsidP="007E4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A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Відповіді на практичних заняттях – 30 % балів;</w:t>
            </w:r>
          </w:p>
          <w:p w14:paraId="5D97C2CC" w14:textId="77777777" w:rsidR="007E4EF7" w:rsidRPr="00CD3AA7" w:rsidRDefault="007E4EF7" w:rsidP="007E4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A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контрольних робіт на заняттях – 30% балів;</w:t>
            </w:r>
          </w:p>
          <w:p w14:paraId="22190139" w14:textId="77777777" w:rsidR="007E4EF7" w:rsidRDefault="007E4EF7" w:rsidP="007E4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A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Модульні контрольні – 40% балів;</w:t>
            </w:r>
          </w:p>
          <w:p w14:paraId="3450BDE0" w14:textId="77777777" w:rsidR="007E4EF7" w:rsidRDefault="007E4EF7" w:rsidP="007E4E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74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Підсумковий бал студент отримує на підставі результатів виконаних ним усіх видів робіт протягом семестру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8910FDF" w14:textId="77777777" w:rsidR="003D470F" w:rsidRPr="002F1AD2" w:rsidRDefault="007E4EF7" w:rsidP="007E4EF7">
            <w:pPr>
              <w:rPr>
                <w:lang w:val="uk-UA"/>
              </w:rPr>
            </w:pPr>
            <w:r w:rsidRPr="00486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Роботи, які здаються із порушенням термінів без поважних причин, оцінюються на нижчу оцінку. Перескладання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контрольних </w:t>
            </w:r>
            <w:r w:rsidRPr="00486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модульних робіт відбувається із дозволу лектора та завідувача кафедри за наявності поважних причин. Відвідування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</w:t>
            </w:r>
            <w:r w:rsidRPr="00486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занять є обов’язковим. </w:t>
            </w:r>
            <w:r w:rsidRPr="00B86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об’єктивних причин навчання може відбуватись в змішаній формі за погодженням із відповідальними викладачами курсу.</w:t>
            </w:r>
          </w:p>
        </w:tc>
      </w:tr>
      <w:tr w:rsidR="002F1AD2" w:rsidRPr="002F1AD2" w14:paraId="57D72533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67BF0966" w14:textId="77777777" w:rsidR="003D470F" w:rsidRPr="002F1AD2" w:rsidRDefault="003D470F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319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інформаці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про дисциплін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bookmarkEnd w:id="2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343" w:type="dxa"/>
          </w:tcPr>
          <w:p w14:paraId="26D86CEA" w14:textId="77777777" w:rsidR="003D470F" w:rsidRPr="002F1AD2" w:rsidRDefault="009D1DFB" w:rsidP="009D1DFB">
            <w:pPr>
              <w:spacing w:after="160" w:line="259" w:lineRule="auto"/>
              <w:jc w:val="both"/>
              <w:rPr>
                <w:lang w:val="uk-UA"/>
              </w:rPr>
            </w:pPr>
            <w:r w:rsidRPr="009D1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 проводяться у аудиторії обладнаній мультимедійним проектором.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Практичні</w:t>
            </w:r>
            <w:r w:rsidRPr="009D1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проводяться у повністю обладнаній лабораторії. Для виконання лабораторних робіт наявне необхідне скляне лабораторне обладнання.</w:t>
            </w:r>
          </w:p>
        </w:tc>
      </w:tr>
      <w:tr w:rsidR="002F1AD2" w:rsidRPr="002F1AD2" w14:paraId="4E8A5B1C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73BAE759" w14:textId="77777777" w:rsidR="003D470F" w:rsidRPr="002F1AD2" w:rsidRDefault="00C94731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343" w:type="dxa"/>
          </w:tcPr>
          <w:p w14:paraId="644A28A8" w14:textId="77777777" w:rsidR="008D6E6C" w:rsidRPr="00005B18" w:rsidRDefault="008D6E6C" w:rsidP="008D6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</w:pP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1. Блажко О. А. Загальна методика навчання хімії : навчальний посібник для студ. хімічних спец. вищих педагогічних навчальних закладів / О. А. Блажко. - Вінниця : Планер, 2012. - 240 с. : іл., табл. - Бібліогр.: с. 238.</w:t>
            </w:r>
          </w:p>
          <w:p w14:paraId="0C06A175" w14:textId="77777777" w:rsidR="008D6E6C" w:rsidRPr="00005B18" w:rsidRDefault="008D6E6C" w:rsidP="008D6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</w:pP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lastRenderedPageBreak/>
              <w:t>2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.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Буринська Н.М. Методика викладання хімії. - К.: Вища шк., 1987. - 256 с.</w:t>
            </w:r>
          </w:p>
          <w:p w14:paraId="756CB29C" w14:textId="77777777" w:rsidR="008D6E6C" w:rsidRPr="00005B18" w:rsidRDefault="008D6E6C" w:rsidP="008D6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</w:pP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3. 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Буринська Н.М. Хімія. Методи розв’язування задач. - К.: Либідь, 1995. - 80 с.</w:t>
            </w:r>
          </w:p>
          <w:p w14:paraId="660CF1D9" w14:textId="77777777" w:rsidR="008D6E6C" w:rsidRPr="00005B18" w:rsidRDefault="008D6E6C" w:rsidP="008D6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</w:pP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4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.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Буринська Н.М., Величко Л.П. Викладання хімії у 10-11 класах загальноосвітніх навчальних закладів: Метод. Посібник для вчителів. - К., Ірпінь: Перун, 2002. - 240 с; іл.</w:t>
            </w:r>
          </w:p>
          <w:p w14:paraId="19A6F052" w14:textId="77777777" w:rsidR="008D6E6C" w:rsidRPr="00005B18" w:rsidRDefault="008D6E6C" w:rsidP="008D6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5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. 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Критерії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ab/>
              <w:t>оцінювання навчальних досягнень учнів у системі загальноосвітньої середньої освіти. - К.; Ірпінь, 2004. - 176 с.</w:t>
            </w:r>
          </w:p>
          <w:p w14:paraId="345E2F24" w14:textId="77777777" w:rsidR="008D6E6C" w:rsidRPr="00005B18" w:rsidRDefault="008D6E6C" w:rsidP="008D6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6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.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Настільна книга педагога. Посібник для тих, хто хоче бути вчителем-майстром / Упорядники: Андреева В.М., Григора В.В. - X.: Вид. група „Основа”: „Тріада +”, 2007. - 352 с.</w:t>
            </w:r>
          </w:p>
          <w:p w14:paraId="59CDA288" w14:textId="4A7E9302" w:rsidR="008D6E6C" w:rsidRPr="00005B18" w:rsidRDefault="008D6E6C" w:rsidP="008D6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8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.Олійник І.В., Кучер Л.Є. Уроки хімії. 9 клас: Посібник для вчителя. - Тернопіль:</w:t>
            </w:r>
            <w:r w:rsidR="00C1416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 xml:space="preserve"> </w:t>
            </w:r>
            <w:r w:rsidRPr="00005B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Навчальна книга - Богдан, 2004. - 144 с.</w:t>
            </w:r>
          </w:p>
          <w:p w14:paraId="40E112FF" w14:textId="77777777" w:rsidR="008D6E6C" w:rsidRPr="00005B18" w:rsidRDefault="008D6E6C" w:rsidP="008D6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05B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.Організація навчального процесу в сучасній школі: Навчально-методичний посібник для вчителі, керівників навчальних закладів, слухачів ШПО / М.В.Галецький, Т.Н. Хлєбнікова. - X.: Веста: Ранок, 2004. - 136 с.</w:t>
            </w:r>
          </w:p>
          <w:p w14:paraId="15A2A771" w14:textId="77777777" w:rsidR="008D6E6C" w:rsidRPr="00005B18" w:rsidRDefault="008D6E6C" w:rsidP="008D6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5B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00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05B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005B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>Ярошенко О.Г. Групова навчальна діяльність школярів: теорія і методика: (На матеріалі вивчення хімії). - К.: Партнер, 1997. - 208 с.</w:t>
            </w:r>
          </w:p>
          <w:p w14:paraId="1BFE559F" w14:textId="77777777" w:rsidR="008D6E6C" w:rsidRPr="00005B18" w:rsidRDefault="00000000" w:rsidP="008D6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8D6E6C" w:rsidRPr="00005B18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https://mon.gov.ua/ua</w:t>
              </w:r>
            </w:hyperlink>
          </w:p>
          <w:p w14:paraId="072777C0" w14:textId="77777777" w:rsidR="008D6E6C" w:rsidRPr="00005B18" w:rsidRDefault="00000000" w:rsidP="008D6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8D6E6C" w:rsidRPr="00005B18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https://imzo.gov.ua/</w:t>
              </w:r>
            </w:hyperlink>
          </w:p>
          <w:p w14:paraId="1029C311" w14:textId="77777777" w:rsidR="008D6E6C" w:rsidRPr="00005B18" w:rsidRDefault="00000000" w:rsidP="008D6E6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8D6E6C" w:rsidRPr="00005B18">
                <w:rPr>
                  <w:rStyle w:val="a8"/>
                  <w:rFonts w:eastAsia="Calibri"/>
                  <w:sz w:val="24"/>
                  <w:szCs w:val="24"/>
                  <w:lang w:val="uk-UA"/>
                </w:rPr>
                <w:t>http://zakinppo.org.ua/</w:t>
              </w:r>
            </w:hyperlink>
          </w:p>
          <w:p w14:paraId="2D2D0D23" w14:textId="77777777" w:rsidR="008D6E6C" w:rsidRPr="00005B18" w:rsidRDefault="008D6E6C" w:rsidP="008D6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18">
              <w:rPr>
                <w:rFonts w:ascii="Times New Roman" w:eastAsia="Calibri" w:hAnsi="Times New Roman" w:cs="Times New Roman"/>
                <w:sz w:val="24"/>
                <w:szCs w:val="24"/>
              </w:rPr>
              <w:t>https://www.mozaveb.hu</w:t>
            </w:r>
          </w:p>
          <w:p w14:paraId="345DC6C4" w14:textId="77777777" w:rsidR="008D6E6C" w:rsidRPr="00005B18" w:rsidRDefault="008D6E6C" w:rsidP="008D6E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5B18">
              <w:rPr>
                <w:rFonts w:ascii="Times New Roman" w:eastAsia="Calibri" w:hAnsi="Times New Roman" w:cs="Times New Roman"/>
                <w:sz w:val="24"/>
                <w:szCs w:val="24"/>
              </w:rPr>
              <w:t>https://tudasbazis.sulinet.hu/hu</w:t>
            </w:r>
          </w:p>
          <w:p w14:paraId="0C9F18E2" w14:textId="77777777" w:rsidR="003D470F" w:rsidRPr="002F1AD2" w:rsidRDefault="003D470F" w:rsidP="003D470F"/>
        </w:tc>
      </w:tr>
    </w:tbl>
    <w:p w14:paraId="2CD6262D" w14:textId="77777777" w:rsidR="00392D23" w:rsidRPr="002F1AD2" w:rsidRDefault="00392D23" w:rsidP="00E93013">
      <w:pPr>
        <w:rPr>
          <w:lang w:val="uk-UA"/>
        </w:rPr>
      </w:pPr>
    </w:p>
    <w:sectPr w:rsidR="00392D23" w:rsidRPr="002F1AD2" w:rsidSect="00286C48">
      <w:headerReference w:type="default" r:id="rId11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C20AE" w14:textId="77777777" w:rsidR="00286C48" w:rsidRDefault="00286C48" w:rsidP="0005502E">
      <w:pPr>
        <w:spacing w:after="0" w:line="240" w:lineRule="auto"/>
      </w:pPr>
      <w:r>
        <w:separator/>
      </w:r>
    </w:p>
  </w:endnote>
  <w:endnote w:type="continuationSeparator" w:id="0">
    <w:p w14:paraId="5B55B2AD" w14:textId="77777777" w:rsidR="00286C48" w:rsidRDefault="00286C48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F0100" w14:textId="77777777" w:rsidR="00286C48" w:rsidRDefault="00286C48" w:rsidP="0005502E">
      <w:pPr>
        <w:spacing w:after="0" w:line="240" w:lineRule="auto"/>
      </w:pPr>
      <w:r>
        <w:separator/>
      </w:r>
    </w:p>
  </w:footnote>
  <w:footnote w:type="continuationSeparator" w:id="0">
    <w:p w14:paraId="76644245" w14:textId="77777777" w:rsidR="00286C48" w:rsidRDefault="00286C48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02AB" w14:textId="77777777" w:rsidR="0005502E" w:rsidRPr="00A25714" w:rsidRDefault="0005502E" w:rsidP="008A1B3F">
    <w:pPr>
      <w:pStyle w:val="a4"/>
      <w:jc w:val="right"/>
      <w:rPr>
        <w:rFonts w:ascii="Times New Roman" w:hAnsi="Times New Roman" w:cs="Times New Roman"/>
        <w:color w:val="FF0000"/>
        <w:sz w:val="16"/>
        <w:szCs w:val="16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D3B4E"/>
    <w:multiLevelType w:val="hybridMultilevel"/>
    <w:tmpl w:val="A59243E4"/>
    <w:lvl w:ilvl="0" w:tplc="54DE24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84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23"/>
    <w:rsid w:val="00032B36"/>
    <w:rsid w:val="0005502E"/>
    <w:rsid w:val="000E504B"/>
    <w:rsid w:val="001425FD"/>
    <w:rsid w:val="001D27F8"/>
    <w:rsid w:val="00252009"/>
    <w:rsid w:val="002531A0"/>
    <w:rsid w:val="0028088A"/>
    <w:rsid w:val="00286C48"/>
    <w:rsid w:val="00295510"/>
    <w:rsid w:val="002A6772"/>
    <w:rsid w:val="002C40AD"/>
    <w:rsid w:val="002D7A11"/>
    <w:rsid w:val="002F1AD2"/>
    <w:rsid w:val="00381B78"/>
    <w:rsid w:val="00392D23"/>
    <w:rsid w:val="003C4985"/>
    <w:rsid w:val="003D470F"/>
    <w:rsid w:val="00402BCE"/>
    <w:rsid w:val="0041052C"/>
    <w:rsid w:val="00477710"/>
    <w:rsid w:val="004825D9"/>
    <w:rsid w:val="00486149"/>
    <w:rsid w:val="004B7818"/>
    <w:rsid w:val="004E2C2F"/>
    <w:rsid w:val="00526D7D"/>
    <w:rsid w:val="00586DFA"/>
    <w:rsid w:val="005C51DB"/>
    <w:rsid w:val="005F5C2C"/>
    <w:rsid w:val="0061036B"/>
    <w:rsid w:val="006618B7"/>
    <w:rsid w:val="006765DD"/>
    <w:rsid w:val="006A41C0"/>
    <w:rsid w:val="006B293F"/>
    <w:rsid w:val="006B61E2"/>
    <w:rsid w:val="00700829"/>
    <w:rsid w:val="00705681"/>
    <w:rsid w:val="007B1F80"/>
    <w:rsid w:val="007E3FBF"/>
    <w:rsid w:val="007E4EF7"/>
    <w:rsid w:val="00805AA6"/>
    <w:rsid w:val="00860BA6"/>
    <w:rsid w:val="008842E1"/>
    <w:rsid w:val="008A059F"/>
    <w:rsid w:val="008A1B3F"/>
    <w:rsid w:val="008B5A5C"/>
    <w:rsid w:val="008B5B21"/>
    <w:rsid w:val="008D3963"/>
    <w:rsid w:val="008D6E6C"/>
    <w:rsid w:val="008F1408"/>
    <w:rsid w:val="00980808"/>
    <w:rsid w:val="00994568"/>
    <w:rsid w:val="009D1DFB"/>
    <w:rsid w:val="009D7790"/>
    <w:rsid w:val="00A01CF0"/>
    <w:rsid w:val="00A25714"/>
    <w:rsid w:val="00A26453"/>
    <w:rsid w:val="00A434B2"/>
    <w:rsid w:val="00A645FE"/>
    <w:rsid w:val="00A72D68"/>
    <w:rsid w:val="00A82AA5"/>
    <w:rsid w:val="00AA2F8F"/>
    <w:rsid w:val="00AC4C79"/>
    <w:rsid w:val="00B30933"/>
    <w:rsid w:val="00B43B5D"/>
    <w:rsid w:val="00B46DB5"/>
    <w:rsid w:val="00B473C5"/>
    <w:rsid w:val="00B64A4D"/>
    <w:rsid w:val="00B66860"/>
    <w:rsid w:val="00B82737"/>
    <w:rsid w:val="00B865D9"/>
    <w:rsid w:val="00BF09EC"/>
    <w:rsid w:val="00C139D0"/>
    <w:rsid w:val="00C14165"/>
    <w:rsid w:val="00C17295"/>
    <w:rsid w:val="00C336BF"/>
    <w:rsid w:val="00C64C68"/>
    <w:rsid w:val="00C9257B"/>
    <w:rsid w:val="00C94731"/>
    <w:rsid w:val="00CA3D51"/>
    <w:rsid w:val="00CB6F6D"/>
    <w:rsid w:val="00CD3AA7"/>
    <w:rsid w:val="00CF306F"/>
    <w:rsid w:val="00D16DA0"/>
    <w:rsid w:val="00D326DA"/>
    <w:rsid w:val="00DA3F3F"/>
    <w:rsid w:val="00DC2AB1"/>
    <w:rsid w:val="00DF7B3F"/>
    <w:rsid w:val="00E237EC"/>
    <w:rsid w:val="00E41F89"/>
    <w:rsid w:val="00E47EA8"/>
    <w:rsid w:val="00E827FD"/>
    <w:rsid w:val="00E93013"/>
    <w:rsid w:val="00ED65E5"/>
    <w:rsid w:val="00F91DC7"/>
    <w:rsid w:val="00F97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A93D8"/>
  <w15:docId w15:val="{49FDD5CF-C368-4D29-BB31-2BB190DD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502E"/>
  </w:style>
  <w:style w:type="paragraph" w:styleId="a6">
    <w:name w:val="footer"/>
    <w:basedOn w:val="a"/>
    <w:link w:val="a7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502E"/>
  </w:style>
  <w:style w:type="character" w:customStyle="1" w:styleId="tojvnm2t">
    <w:name w:val="tojvnm2t"/>
    <w:basedOn w:val="a0"/>
    <w:rsid w:val="00381B78"/>
  </w:style>
  <w:style w:type="character" w:styleId="a8">
    <w:name w:val="Hyperlink"/>
    <w:basedOn w:val="a0"/>
    <w:uiPriority w:val="99"/>
    <w:unhideWhenUsed/>
    <w:rsid w:val="00B865D9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AA2F8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zakinppo.org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mzo.gov.ua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CD35A-D5A5-44B2-8E53-ADAE35E1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5</Pages>
  <Words>1563</Words>
  <Characters>8915</Characters>
  <Application>Microsoft Office Word</Application>
  <DocSecurity>0</DocSecurity>
  <Lines>74</Lines>
  <Paragraphs>20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Misha</cp:lastModifiedBy>
  <cp:revision>21</cp:revision>
  <dcterms:created xsi:type="dcterms:W3CDTF">2021-03-22T14:17:00Z</dcterms:created>
  <dcterms:modified xsi:type="dcterms:W3CDTF">2024-03-29T19:43:00Z</dcterms:modified>
</cp:coreProperties>
</file>