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396E63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396E63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6E63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396E63" w:rsidTr="00396E63">
        <w:trPr>
          <w:trHeight w:val="1453"/>
        </w:trPr>
        <w:tc>
          <w:tcPr>
            <w:tcW w:w="1819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26453" w:rsidRPr="00396E63" w:rsidRDefault="00396E6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A26453" w:rsidRPr="00396E63" w:rsidRDefault="00396E6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A26453" w:rsidRDefault="00246809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  <w:p w:rsidR="00246809" w:rsidRPr="00246809" w:rsidRDefault="006833C5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24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468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</w:tbl>
    <w:p w:rsidR="00526D7D" w:rsidRPr="00396E63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396E63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396E63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2662"/>
        <w:gridCol w:w="7256"/>
      </w:tblGrid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392D23" w:rsidRPr="00396E63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396E63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7256" w:type="dxa"/>
          </w:tcPr>
          <w:p w:rsidR="00392D23" w:rsidRPr="006833C5" w:rsidRDefault="00BA1DB7" w:rsidP="006833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</w:t>
            </w:r>
            <w:r w:rsid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екологія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256" w:type="dxa"/>
          </w:tcPr>
          <w:p w:rsidR="00392D23" w:rsidRPr="00396E63" w:rsidRDefault="00BA1DB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біології та хімії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7256" w:type="dxa"/>
          </w:tcPr>
          <w:p w:rsidR="00392D23" w:rsidRPr="00396E63" w:rsidRDefault="00BA1DB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 Середня 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(</w:t>
            </w:r>
            <w:r w:rsidR="006833C5" w:rsidRPr="006833C5">
              <w:rPr>
                <w:rFonts w:ascii="Times New Roman" w:hAnsi="Times New Roman" w:cs="Times New Roman"/>
                <w:sz w:val="24"/>
                <w:lang w:val="uk-UA"/>
              </w:rPr>
              <w:t>Біологія та здоров</w:t>
            </w:r>
            <w:r w:rsidR="006833C5" w:rsidRPr="006833C5">
              <w:rPr>
                <w:rFonts w:ascii="Times New Roman" w:hAnsi="Times New Roman" w:cs="Times New Roman"/>
                <w:sz w:val="24"/>
              </w:rPr>
              <w:t>’</w:t>
            </w:r>
            <w:r w:rsidR="006833C5" w:rsidRPr="006833C5">
              <w:rPr>
                <w:rFonts w:ascii="Times New Roman" w:hAnsi="Times New Roman" w:cs="Times New Roman"/>
                <w:sz w:val="24"/>
                <w:lang w:val="uk-UA"/>
              </w:rPr>
              <w:t>я людини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E47EA8" w:rsidRPr="00396E63" w:rsidRDefault="00E237EC" w:rsidP="00E930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7256" w:type="dxa"/>
          </w:tcPr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396E63" w:rsidRDefault="00E237EC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:rsidR="007E3FBF" w:rsidRPr="00396E63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4/120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---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E47EA8" w:rsidRPr="00396E63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7256" w:type="dxa"/>
          </w:tcPr>
          <w:p w:rsidR="00392D23" w:rsidRPr="00396E63" w:rsidRDefault="00276C42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Гаднадь Іштван Іштванович, доктор філософії з природничих наук, доцент кафедри біології та хімії</w:t>
            </w:r>
          </w:p>
          <w:p w:rsidR="00276C42" w:rsidRPr="00396E63" w:rsidRDefault="001135E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6C42" w:rsidRPr="00396E6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hadnagy.istvan@kmf.uz.ua</w:t>
              </w:r>
            </w:hyperlink>
          </w:p>
          <w:p w:rsidR="00276C42" w:rsidRPr="00396E63" w:rsidRDefault="00276C4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7B1F80" w:rsidRPr="00396E63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7256" w:type="dxa"/>
          </w:tcPr>
          <w:p w:rsidR="00392D23" w:rsidRPr="006833C5" w:rsidRDefault="006833C5" w:rsidP="006833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З метою успішного оволодіння матеріалом навчального курсу «Загальна екологія» студент повинен мати ґрунтовні знання з</w:t>
            </w:r>
            <w:r w:rsidRPr="006833C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таких предметів: біологія, георафія, хімія та ін.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7B1F80" w:rsidRPr="00396E63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7256" w:type="dxa"/>
          </w:tcPr>
          <w:p w:rsidR="001135E2" w:rsidRPr="001135E2" w:rsidRDefault="001135E2" w:rsidP="001135E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Метою</w:t>
            </w:r>
            <w:r w:rsidRPr="001135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вивчення навчальної дисципліни «Загальне землезнавство» є формування системи знань майбутнього вчителя, викладача, науковця про загальні екологічні закономірності біосфери Землі в цілому, її структури, складу і динаміки; оволодіти екологічними законами взаємодії живих і неживих компонентів та функціонування екосистеми. </w:t>
            </w:r>
            <w:r w:rsidRPr="001135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Розуміти характер впливу природних і антропогенних факторів на функціонування різних біогеоценозів і біосфери в цілому.</w:t>
            </w:r>
          </w:p>
          <w:p w:rsidR="00DB13EC" w:rsidRDefault="00DB13EC" w:rsidP="00DB1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33C5" w:rsidRPr="006833C5" w:rsidRDefault="006833C5" w:rsidP="00DB1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</w:t>
            </w:r>
          </w:p>
          <w:p w:rsidR="006833C5" w:rsidRPr="006833C5" w:rsidRDefault="006833C5" w:rsidP="006833C5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  як наука. Основні екологічні поняття та закони.</w:t>
            </w:r>
          </w:p>
          <w:p w:rsidR="006833C5" w:rsidRPr="006833C5" w:rsidRDefault="006833C5" w:rsidP="006833C5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закономірності впливу екологічних факторів на живі організми</w:t>
            </w:r>
          </w:p>
          <w:p w:rsidR="006833C5" w:rsidRPr="006833C5" w:rsidRDefault="006833C5" w:rsidP="00E169DD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 і класифікація екологічних факторів. Світло як екологічний фактор.</w:t>
            </w:r>
          </w:p>
          <w:p w:rsidR="006833C5" w:rsidRPr="006833C5" w:rsidRDefault="006833C5" w:rsidP="006833C5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Температура як екологічний фактор.</w:t>
            </w:r>
          </w:p>
          <w:p w:rsidR="006833C5" w:rsidRPr="006833C5" w:rsidRDefault="006833C5" w:rsidP="006833C5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Вода як екологічний фактор.</w:t>
            </w:r>
          </w:p>
          <w:p w:rsidR="006833C5" w:rsidRPr="006833C5" w:rsidRDefault="006833C5" w:rsidP="006833C5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Грунт як екологічний фактор.</w:t>
            </w:r>
          </w:p>
          <w:p w:rsidR="006833C5" w:rsidRPr="006833C5" w:rsidRDefault="006833C5" w:rsidP="006833C5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Популяція та її основні характеристики.</w:t>
            </w:r>
          </w:p>
          <w:p w:rsidR="006833C5" w:rsidRPr="006833C5" w:rsidRDefault="006833C5" w:rsidP="006833C5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Біотичні фактори. Міжвидові (міжпопуляційні) взаємодії</w:t>
            </w:r>
          </w:p>
          <w:p w:rsidR="006833C5" w:rsidRPr="006833C5" w:rsidRDefault="006833C5" w:rsidP="006833C5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Екосистеми, їх структура та види. Ланцюги живлення.</w:t>
            </w:r>
            <w:r w:rsidRPr="006833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Кругообіг речовин у біосфері. </w:t>
            </w:r>
          </w:p>
          <w:p w:rsidR="006833C5" w:rsidRPr="006833C5" w:rsidRDefault="006833C5" w:rsidP="006833C5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Біоценози та їх основні характеристики. Біоми та їх висотно-широтна класифікація.</w:t>
            </w:r>
          </w:p>
          <w:p w:rsidR="006833C5" w:rsidRDefault="006833C5" w:rsidP="006833C5">
            <w:pPr>
              <w:pStyle w:val="Listaszerbekezds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833C5" w:rsidRPr="006833C5" w:rsidRDefault="006833C5" w:rsidP="006833C5">
            <w:pPr>
              <w:pStyle w:val="Listaszerbekezds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 та практичні заняття</w:t>
            </w:r>
          </w:p>
          <w:p w:rsidR="006833C5" w:rsidRPr="006833C5" w:rsidRDefault="006833C5" w:rsidP="006833C5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та форми мімікрії (наслідування, маскування)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833C5" w:rsidRPr="006833C5" w:rsidRDefault="006833C5" w:rsidP="006833C5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 як оточуюче середовище. Фізико-хімічні властивості текучих вод та озер. Гідробіо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нти, біоценози водних об'єктів.</w:t>
            </w:r>
          </w:p>
          <w:p w:rsidR="006833C5" w:rsidRPr="006833C5" w:rsidRDefault="006833C5" w:rsidP="006833C5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Механічні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орографічні фактори, які впливають на живі організми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833C5" w:rsidRPr="006833C5" w:rsidRDefault="006833C5" w:rsidP="006833C5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ціональні компоненти екосистем.</w:t>
            </w:r>
          </w:p>
          <w:p w:rsidR="006833C5" w:rsidRDefault="006833C5" w:rsidP="008427DD">
            <w:pPr>
              <w:pStyle w:val="Listaszerbekezds"/>
              <w:numPr>
                <w:ilvl w:val="0"/>
                <w:numId w:val="6"/>
              </w:numPr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Біологічне різноманітт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та заходи щодо її збереження.</w:t>
            </w:r>
          </w:p>
          <w:p w:rsidR="006833C5" w:rsidRPr="006833C5" w:rsidRDefault="006833C5" w:rsidP="006833C5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Життєві форми рослин за К. Раункієром. Основні групи життєвих форм тварин.</w:t>
            </w:r>
          </w:p>
          <w:p w:rsidR="006833C5" w:rsidRDefault="006833C5" w:rsidP="006833C5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Пристосування рослинних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рганізмів до світлового режиму.</w:t>
            </w:r>
          </w:p>
          <w:p w:rsidR="006833C5" w:rsidRPr="006833C5" w:rsidRDefault="006833C5" w:rsidP="006833C5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Біогеохімічний цикл води. Біогеохімічний цикл вуглецю.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Біогеохімічний цикл азоту. Біогеохімічний цикл фосфору та сірки</w:t>
            </w:r>
          </w:p>
          <w:p w:rsidR="006833C5" w:rsidRDefault="006833C5" w:rsidP="006833C5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 сукцесія. Сукцесійні серії.</w:t>
            </w:r>
          </w:p>
          <w:p w:rsidR="006833C5" w:rsidRDefault="006833C5" w:rsidP="006833C5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Стратегії життя. Емпірична система оцінки сратегії життя Д. Грайма (C, S, R). </w:t>
            </w:r>
          </w:p>
          <w:p w:rsidR="00340BA7" w:rsidRPr="006833C5" w:rsidRDefault="00340BA7" w:rsidP="006833C5">
            <w:pPr>
              <w:pStyle w:val="Listaszerbekezds"/>
              <w:ind w:left="6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результаті вивчення</w:t>
            </w:r>
            <w:r w:rsidR="004D6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навчальної дисципліни «Загальна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6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у студента мають бути сформовані такі компетентності за освітньо-професійною програмою «Середня освіта (</w:t>
            </w:r>
            <w:r w:rsidR="004D6F67" w:rsidRPr="004D6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та здоров’я людини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):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Інтегральна компетентність (ІК). Здатність розв’язувати складні спеціалізовані практичні завдання в галузі середньої освіти, природничих, фізичних, хімічних, біологічних і педагогічних наук, що передбачає застосування теорій та методів освітніх та природничих наук, проведення досліджень та здійснення інновацій. Характеризується комплексністю мінливістю педагогічних умов організації освітнього процесу в основній (базовій середній) школі.</w:t>
            </w:r>
          </w:p>
          <w:p w:rsidR="00963736" w:rsidRPr="00963736" w:rsidRDefault="00963736" w:rsidP="00963736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96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1. Загальні системні компетентності:</w:t>
            </w:r>
          </w:p>
          <w:p w:rsidR="00963736" w:rsidRPr="00963736" w:rsidRDefault="00963736" w:rsidP="00963736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963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здатність вчитися і оволодівати сучасними знаннями, набувати соціальні навички (soft skills), спеціалізовані концептуальні знання в процесі навчання та/або професійної діяльності на рівні новітніх досягнень, які є основою для оригінального мислення та інноваційної діяльності, усвідомлення можливості навчання впродовж життя.</w:t>
            </w:r>
          </w:p>
          <w:p w:rsidR="00963736" w:rsidRPr="00963736" w:rsidRDefault="00963736" w:rsidP="00963736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963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здатність до абстрактного мислення, аналізу та синтезу.</w:t>
            </w:r>
          </w:p>
          <w:p w:rsidR="00963736" w:rsidRPr="00963736" w:rsidRDefault="00963736" w:rsidP="00963736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3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ЗК-7. 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і готовність здійснювати перевірку достовірності фактів; використовувати критичне мислення; здійснювати об’єктивний контроль і оцінювання рівня навчальних досягнень учнів.</w:t>
            </w:r>
          </w:p>
          <w:p w:rsidR="00963736" w:rsidRPr="00963736" w:rsidRDefault="00963736" w:rsidP="00963736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96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Спеціальні (фахові) компетентності (СК)</w:t>
            </w:r>
          </w:p>
          <w:p w:rsidR="00963736" w:rsidRPr="00963736" w:rsidRDefault="00963736" w:rsidP="00963736">
            <w:pPr>
              <w:autoSpaceDE w:val="0"/>
              <w:autoSpaceDN w:val="0"/>
              <w:adjustRightInd w:val="0"/>
              <w:ind w:left="79" w:right="127" w:firstLine="4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637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СК-7. </w:t>
            </w:r>
            <w:r w:rsidRPr="009637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здатність і готовність застосовувати екологічні знання і досвід у професійних і життєвих ситуаціях, володіти навичками щодо оцінки стану навколишнього середовища та ведення; здатність до формування в учнів екологічного мислення.</w:t>
            </w:r>
          </w:p>
          <w:p w:rsidR="00963736" w:rsidRPr="00963736" w:rsidRDefault="00963736" w:rsidP="00963736">
            <w:pPr>
              <w:autoSpaceDE w:val="0"/>
              <w:autoSpaceDN w:val="0"/>
              <w:adjustRightInd w:val="0"/>
              <w:ind w:left="79" w:right="127" w:firstLine="4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63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СК-8. </w:t>
            </w:r>
            <w:r w:rsidRPr="0096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досліджувати різні рівні організації живого, біологічні явища і процеси.</w:t>
            </w:r>
          </w:p>
          <w:p w:rsidR="00963736" w:rsidRPr="00963736" w:rsidRDefault="00963736" w:rsidP="00963736">
            <w:pPr>
              <w:autoSpaceDE w:val="0"/>
              <w:autoSpaceDN w:val="0"/>
              <w:adjustRightInd w:val="0"/>
              <w:ind w:left="79" w:right="127" w:firstLine="4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63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СК-9.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здатність до аналізу будови, функцій, процесів життєдіяльності живих організмів.</w:t>
            </w:r>
          </w:p>
          <w:p w:rsidR="00963736" w:rsidRPr="00963736" w:rsidRDefault="00963736" w:rsidP="0096373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Вивчення дисципліни «Загальна екологія» забезпечує досягнення таких </w:t>
            </w:r>
            <w:r w:rsidRPr="00963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програмних результатів навчання за освітньою програмою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«Середня освіта (Біологія та здоров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людини) першого (бакалаврського) рівня вищої освіти:</w:t>
            </w:r>
          </w:p>
          <w:p w:rsidR="00963736" w:rsidRPr="00963736" w:rsidRDefault="00963736" w:rsidP="00963736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637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ПРН-6. </w:t>
            </w:r>
            <w:r w:rsidRPr="009637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Знає </w:t>
            </w:r>
            <w:r w:rsidRPr="009637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роль живих організмів та біологічних систем різного рівня, їх використання, охорону, відтворення.</w:t>
            </w:r>
          </w:p>
          <w:p w:rsidR="00963736" w:rsidRPr="00963736" w:rsidRDefault="00963736" w:rsidP="00963736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637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ПРН-9. </w:t>
            </w:r>
            <w:r w:rsidRPr="009637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Виконує </w:t>
            </w:r>
            <w:r w:rsidRPr="009637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експериментальні польові та лабораторні дослідження, </w:t>
            </w:r>
            <w:r w:rsidRPr="0096373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інтерпретує </w:t>
            </w:r>
            <w:r w:rsidRPr="009637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 досліджень.</w:t>
            </w:r>
          </w:p>
          <w:p w:rsidR="00963736" w:rsidRPr="00963736" w:rsidRDefault="00963736" w:rsidP="00963736">
            <w:pPr>
              <w:ind w:left="79" w:firstLine="4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ПРН-11. </w:t>
            </w:r>
            <w:r w:rsidRPr="009637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Розуміє і характеризує 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стратегію сталого розвитку та розкриває сутність взаємозв’язків між природним середовищем і людиною.</w:t>
            </w:r>
          </w:p>
          <w:p w:rsidR="00963736" w:rsidRPr="00963736" w:rsidRDefault="00963736" w:rsidP="00963736">
            <w:pPr>
              <w:autoSpaceDE w:val="0"/>
              <w:autoSpaceDN w:val="0"/>
              <w:adjustRightInd w:val="0"/>
              <w:ind w:left="79" w:right="128" w:firstLine="4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637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ПРН-13. </w:t>
            </w:r>
            <w:r w:rsidRPr="0096373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Здатний</w:t>
            </w:r>
            <w:r w:rsidRPr="009637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вчитися упродовж життя і вдосконалювати з високим рівнем автономності здобуті під час навчання компетенції.</w:t>
            </w:r>
          </w:p>
          <w:p w:rsidR="00340BA7" w:rsidRPr="00963736" w:rsidRDefault="00963736" w:rsidP="00963736">
            <w:pPr>
              <w:ind w:left="79" w:firstLine="4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ПРН-15. </w:t>
            </w:r>
            <w:r w:rsidRPr="009637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Уміє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представляти результати комплексних досліджень у вигляді наукових звітів і презентацій, застосовуючи сучасні картографічні та графічні методи.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7256" w:type="dxa"/>
          </w:tcPr>
          <w:p w:rsidR="00DB13EC" w:rsidRPr="00DB13EC" w:rsidRDefault="00DB13EC" w:rsidP="00DB13E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Форми контролю та критерії оцінювання результатів навчання: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Форми поточного контролю: усні відповіді, тестування.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Форма модульного контролю: письмова робота.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Форма підсумкового семестрового контролю: іспит в усній формі.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 окремих видів навчальної роботи з дисципліни</w:t>
            </w:r>
          </w:p>
          <w:p w:rsidR="00E52E3E" w:rsidRPr="00E52E3E" w:rsidRDefault="00E52E3E" w:rsidP="00E52E3E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Практичні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семінарські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proofErr w:type="spellStart"/>
            <w:r>
              <w:rPr>
                <w:sz w:val="23"/>
                <w:szCs w:val="23"/>
              </w:rPr>
              <w:t>заняття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 xml:space="preserve">– </w:t>
            </w: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кожне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разом</w:t>
            </w:r>
            <w:proofErr w:type="spellEnd"/>
            <w:r>
              <w:rPr>
                <w:sz w:val="23"/>
                <w:szCs w:val="23"/>
              </w:rPr>
              <w:t xml:space="preserve"> 20 </w:t>
            </w:r>
            <w:proofErr w:type="spellStart"/>
            <w:r>
              <w:rPr>
                <w:sz w:val="23"/>
                <w:szCs w:val="23"/>
              </w:rPr>
              <w:t>балів</w:t>
            </w:r>
            <w:proofErr w:type="spellEnd"/>
            <w:r>
              <w:rPr>
                <w:sz w:val="23"/>
                <w:szCs w:val="23"/>
              </w:rPr>
              <w:t>)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Модульна контрольна робота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балів)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Проектна робота</w:t>
            </w:r>
            <w:r w:rsidR="00C60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тестування, усні відповіді</w:t>
            </w: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max 10 балів.</w:t>
            </w:r>
          </w:p>
          <w:p w:rsidR="00C60ABA" w:rsidRDefault="00C60ABA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контроль: іспит в усній формі – 0-40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отримує допуск до іспиту, якщо за результатами поточного контролю він набрав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більше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Максимальний загальний бал оцінювання складає 100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D2356" w:rsidRPr="00396E63" w:rsidRDefault="00FD2356" w:rsidP="00FD2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Шкала оцінювання: національна та ECTS</w:t>
            </w:r>
          </w:p>
          <w:tbl>
            <w:tblPr>
              <w:tblW w:w="6946" w:type="dxa"/>
              <w:tblInd w:w="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5"/>
              <w:gridCol w:w="1229"/>
              <w:gridCol w:w="1971"/>
              <w:gridCol w:w="2041"/>
            </w:tblGrid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Сума балів за всі види навчальної діяльності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Az </w:t>
                  </w:r>
                  <w:proofErr w:type="spellStart"/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összpontszám</w:t>
                  </w:r>
                  <w:proofErr w:type="spellEnd"/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az összes tanulmányi teljesítmény alapján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</w:t>
                  </w: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ECTS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Osztályzat az ECTS szerint</w:t>
                  </w:r>
                </w:p>
              </w:tc>
              <w:tc>
                <w:tcPr>
                  <w:tcW w:w="4252" w:type="dxa"/>
                  <w:gridSpan w:val="2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за національною шкалою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Osztályzat a nemzeti skála alapján</w:t>
                  </w: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екзамену, курсового проекту (роботи), практики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vizsga, évfolyammunka, gyakorlat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заліку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beszámoló</w:t>
                  </w: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90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100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відмінно 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jeles</w:t>
                  </w:r>
                </w:p>
              </w:tc>
              <w:tc>
                <w:tcPr>
                  <w:tcW w:w="2192" w:type="dxa"/>
                  <w:vMerge w:val="restart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зараховано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megfelelt</w:t>
                  </w:r>
                </w:p>
              </w:tc>
            </w:tr>
            <w:tr w:rsidR="00FD2356" w:rsidRPr="00396E63" w:rsidTr="00ED3492">
              <w:trPr>
                <w:trHeight w:val="186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82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89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добре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jó</w:t>
                  </w: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62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-81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2060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64-7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задовільно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elégséges</w:t>
                  </w: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60-63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2060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1444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35-59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можливістю повторного складання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elégtelen a pótvizsga lehetőségével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можливістю повторного складання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a pótbeszámoló lehetőségével</w:t>
                  </w:r>
                </w:p>
              </w:tc>
            </w:tr>
            <w:tr w:rsidR="00FD2356" w:rsidRPr="00396E63" w:rsidTr="00ED3492">
              <w:trPr>
                <w:trHeight w:val="681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elégtelen, a tárgy újrafelvételének kötelezettségével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a tárgy újrafelvételének kötelezettségével</w:t>
                  </w:r>
                </w:p>
              </w:tc>
            </w:tr>
          </w:tbl>
          <w:p w:rsidR="00392D23" w:rsidRPr="00396E63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Інші інформації про дисципліни (п</w:t>
            </w:r>
            <w:r w:rsidR="00B46DB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3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технічн</w:t>
            </w:r>
            <w:r w:rsidR="00402BCE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програмн</w:t>
            </w:r>
            <w:r w:rsidR="00402BCE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забезпечення дисципліни тощо) </w:t>
            </w:r>
          </w:p>
          <w:p w:rsidR="00B46DB5" w:rsidRPr="00396E63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</w:tcPr>
          <w:p w:rsidR="00276C42" w:rsidRPr="00340BA7" w:rsidRDefault="00276C42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навчальної дисципліни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занять є обов’язковим.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Пропущені за об’єктивних причин (наприклад хвороба, відрядження, тощо) заняття підлягають обов’язковому відпрацюванню згідно графіку консультацій викладача.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Обов’язковою є присутність студента на модульному та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підсумковому контролях.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Запізнення на заняття не допускаються.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мобільних пристроїв допускається лише з дозволу викладача для вирішення навчальних завдань під </w:t>
            </w:r>
            <w:r w:rsidR="000F4EDD"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виконання практичних робіт.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виконанні письмових робіт студенти зобов’язані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дотримуватися термінів, передбачених програмою навчального курсу.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 (60 % від можливої</w:t>
            </w:r>
            <w:r w:rsidR="000F4EDD"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максимальної кількості балів).</w:t>
            </w:r>
          </w:p>
          <w:p w:rsidR="000F4EDD" w:rsidRPr="00340BA7" w:rsidRDefault="000F4EDD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Перескладання незадовільних оцінок екзамену здійснюється відповідно до Порядку ліквідації академічної заборгованості у ЗУІ ім. Ференца Ракоці ІІ </w:t>
            </w:r>
            <w:hyperlink r:id="rId7" w:history="1">
              <w:r w:rsidR="00841330" w:rsidRPr="00340BA7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https://kmf.uz.ua/uk/infocenter/</w:t>
              </w:r>
            </w:hyperlink>
          </w:p>
          <w:p w:rsidR="00392D23" w:rsidRDefault="001D0891" w:rsidP="00392D23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ґрунтується на засадах академічної доброчесності ‒ сукупності етичних принципів та визначених законом правил, якими мають керуватися учасники освітнього процесу.</w:t>
            </w:r>
          </w:p>
          <w:p w:rsidR="00213F20" w:rsidRPr="00213F20" w:rsidRDefault="00213F20" w:rsidP="00213F20">
            <w:pPr>
              <w:shd w:val="clear" w:color="auto" w:fill="FFFFFF"/>
              <w:ind w:firstLine="3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Методичне забезпечення: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 Робоча програма дисципліни.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 Силабус дисципліни.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 Тексти лекцій та практичних робіт.</w:t>
            </w:r>
          </w:p>
          <w:p w:rsid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4. Мультимедійні презентації окремих тем навчального курсу.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Ектронне навчання у системі 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Google </w:t>
            </w:r>
            <w:proofErr w:type="spellStart"/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Classroom</w:t>
            </w:r>
            <w:proofErr w:type="spellEnd"/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</w:t>
            </w:r>
            <w:r w:rsidR="00B46DB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4"/>
          </w:p>
        </w:tc>
        <w:tc>
          <w:tcPr>
            <w:tcW w:w="7256" w:type="dxa"/>
          </w:tcPr>
          <w:p w:rsidR="00963736" w:rsidRPr="00963736" w:rsidRDefault="00963736" w:rsidP="00963736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4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Lányi </w:t>
            </w:r>
            <w:proofErr w:type="spellStart"/>
            <w:r w:rsidRPr="0096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</w:t>
            </w:r>
            <w:proofErr w:type="spellEnd"/>
            <w:r w:rsidRPr="0096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(1998): Ökológia tényről tényre. – Környezet és Fejlődés Kiadó, Budapest, 192pp. </w:t>
            </w:r>
          </w:p>
          <w:p w:rsidR="00963736" w:rsidRPr="00963736" w:rsidRDefault="00963736" w:rsidP="00963736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34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Májer J. (1994): Az ökológia alapjai. – Szaktudás Kiadó, Budapest, 246pp.</w:t>
            </w:r>
          </w:p>
          <w:p w:rsidR="00963736" w:rsidRPr="00963736" w:rsidRDefault="00963736" w:rsidP="00963736">
            <w:pPr>
              <w:numPr>
                <w:ilvl w:val="0"/>
                <w:numId w:val="7"/>
              </w:numPr>
              <w:tabs>
                <w:tab w:val="clear" w:pos="720"/>
              </w:tabs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Nánási I., 2005 (</w:t>
            </w:r>
            <w:proofErr w:type="spellStart"/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szerk</w:t>
            </w:r>
            <w:proofErr w:type="spellEnd"/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.): Humánökológia. A természetvédelem, a környezetvédelem és az embervédelem tudományos alapjai és módszerei. 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Medicina Könyvkiadó Rt., Budapest. – 543 old.</w:t>
            </w:r>
          </w:p>
          <w:p w:rsidR="00963736" w:rsidRPr="00963736" w:rsidRDefault="00963736" w:rsidP="00963736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4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6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Pásztor E. – </w:t>
            </w:r>
            <w:proofErr w:type="spellStart"/>
            <w:r w:rsidRPr="0096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Oborny</w:t>
            </w:r>
            <w:proofErr w:type="spellEnd"/>
            <w:r w:rsidRPr="0096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B. (</w:t>
            </w:r>
            <w:proofErr w:type="spellStart"/>
            <w:r w:rsidRPr="0096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eds</w:t>
            </w:r>
            <w:proofErr w:type="spellEnd"/>
            <w:r w:rsidRPr="0096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.) (2007): Ökológia. – Nemzeti Tankönyvkiadó, Budapest, 420pp. </w:t>
            </w:r>
          </w:p>
          <w:p w:rsidR="00963736" w:rsidRPr="00963736" w:rsidRDefault="00963736" w:rsidP="00963736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348" w:hanging="284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Széky</w:t>
            </w:r>
            <w:proofErr w:type="spellEnd"/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P. (1979): Ökológia. A természet erői a mezőgazdaság szolgálatában. – </w:t>
            </w:r>
            <w:proofErr w:type="spellStart"/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Natura</w:t>
            </w:r>
            <w:proofErr w:type="spellEnd"/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Budapest, 174pp.</w:t>
            </w:r>
          </w:p>
          <w:p w:rsidR="00963736" w:rsidRPr="00963736" w:rsidRDefault="00963736" w:rsidP="00963736">
            <w:pPr>
              <w:numPr>
                <w:ilvl w:val="0"/>
                <w:numId w:val="8"/>
              </w:numPr>
              <w:tabs>
                <w:tab w:val="clear" w:pos="720"/>
              </w:tabs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Komonyi</w:t>
            </w:r>
            <w:proofErr w:type="spellEnd"/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É</w:t>
            </w:r>
            <w:proofErr w:type="gramStart"/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2006: Ökológiai alapismeretek. Főiskolai jegyzet. II. RF KMF. Rákóczi-füzetek XIV. 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PoliPrint, Ungvár. – 140 old.</w:t>
            </w:r>
          </w:p>
          <w:p w:rsidR="00963736" w:rsidRPr="00963736" w:rsidRDefault="00963736" w:rsidP="00963736">
            <w:pPr>
              <w:numPr>
                <w:ilvl w:val="0"/>
                <w:numId w:val="8"/>
              </w:numPr>
              <w:tabs>
                <w:tab w:val="clear" w:pos="720"/>
              </w:tabs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Бедрій Я.І., Джигирей В.С., Кидисюк А.І. та ін Основи екології та охорона навколишнього природного середовища. – Л., 1999. </w:t>
            </w:r>
          </w:p>
          <w:p w:rsidR="00963736" w:rsidRPr="00963736" w:rsidRDefault="00963736" w:rsidP="00963736">
            <w:pPr>
              <w:numPr>
                <w:ilvl w:val="0"/>
                <w:numId w:val="8"/>
              </w:numPr>
              <w:tabs>
                <w:tab w:val="clear" w:pos="720"/>
                <w:tab w:val="num" w:pos="1080"/>
              </w:tabs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Білявський Г.О., Фурдуй Р.С., Костіков І.Ю. Основи екології: Підручник. – К. Либідь, 2004.– 408с.</w:t>
            </w:r>
          </w:p>
          <w:p w:rsidR="00963736" w:rsidRPr="00963736" w:rsidRDefault="00963736" w:rsidP="00963736">
            <w:pPr>
              <w:numPr>
                <w:ilvl w:val="0"/>
                <w:numId w:val="8"/>
              </w:numPr>
              <w:tabs>
                <w:tab w:val="clear" w:pos="720"/>
                <w:tab w:val="num" w:pos="1080"/>
              </w:tabs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Білявський Г.О., Фурдуй Р.С. Практикум із загальної екології. К.: Либідь - 1997. – 160 с.</w:t>
            </w:r>
          </w:p>
          <w:p w:rsidR="00963736" w:rsidRPr="00963736" w:rsidRDefault="00963736" w:rsidP="00963736">
            <w:pPr>
              <w:numPr>
                <w:ilvl w:val="0"/>
                <w:numId w:val="8"/>
              </w:numPr>
              <w:tabs>
                <w:tab w:val="clear" w:pos="720"/>
              </w:tabs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Злобін Ю.А. Основи екології: Підручник.  – К.: Лібра, 1998. – 250 с.</w:t>
            </w:r>
          </w:p>
          <w:p w:rsidR="00963736" w:rsidRPr="00963736" w:rsidRDefault="00963736" w:rsidP="00963736">
            <w:pPr>
              <w:numPr>
                <w:ilvl w:val="0"/>
                <w:numId w:val="8"/>
              </w:numPr>
              <w:tabs>
                <w:tab w:val="clear" w:pos="720"/>
              </w:tabs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Джигирей В.С. Екологія та охорона навколишнього природного середовища. К.: Знання, 2000. – 203 с.</w:t>
            </w:r>
          </w:p>
          <w:p w:rsidR="00963736" w:rsidRPr="00963736" w:rsidRDefault="00963736" w:rsidP="00963736">
            <w:pPr>
              <w:numPr>
                <w:ilvl w:val="0"/>
                <w:numId w:val="8"/>
              </w:numPr>
              <w:tabs>
                <w:tab w:val="clear" w:pos="720"/>
              </w:tabs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Шматько В.Г., Нікітін Ю.В., 2008: Екологія і організація природоохоронної діяльності. Навч.посібник. КНТ. Київ. – 303 с.</w:t>
            </w:r>
          </w:p>
          <w:p w:rsidR="00963736" w:rsidRPr="00963736" w:rsidRDefault="00963736" w:rsidP="00963736">
            <w:pPr>
              <w:numPr>
                <w:ilvl w:val="0"/>
                <w:numId w:val="8"/>
              </w:numPr>
              <w:tabs>
                <w:tab w:val="clear" w:pos="720"/>
              </w:tabs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Серебряков В.В., 2001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ред.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Екологія. 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dtv-Atlas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„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Знання-Прес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Київ. – 287 с.</w:t>
            </w:r>
          </w:p>
          <w:p w:rsidR="00963736" w:rsidRPr="00963736" w:rsidRDefault="00963736" w:rsidP="00963736">
            <w:pPr>
              <w:numPr>
                <w:ilvl w:val="0"/>
                <w:numId w:val="8"/>
              </w:numPr>
              <w:tabs>
                <w:tab w:val="clear" w:pos="720"/>
              </w:tabs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Мусієнко М.М., Серебряков В.В., Брайон О.В., 2002: Екологія охорона рироди. Словник-довідник. 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„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Київ. – 550 с.</w:t>
            </w:r>
          </w:p>
          <w:p w:rsidR="00963736" w:rsidRPr="00963736" w:rsidRDefault="00963736" w:rsidP="00963736">
            <w:pPr>
              <w:numPr>
                <w:ilvl w:val="0"/>
                <w:numId w:val="8"/>
              </w:numPr>
              <w:tabs>
                <w:tab w:val="clear" w:pos="720"/>
              </w:tabs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Щедрій Я. І., Джигерей В.С., Сидисюк А.І. та ін. Основи екології та охорона навколишнього природного середовища: Навчальний посібник для вузів – Львів, 2000. – 238 с.</w:t>
            </w:r>
          </w:p>
          <w:p w:rsidR="00963736" w:rsidRDefault="00963736" w:rsidP="00963736">
            <w:pPr>
              <w:numPr>
                <w:ilvl w:val="0"/>
                <w:numId w:val="8"/>
              </w:numPr>
              <w:tabs>
                <w:tab w:val="clear" w:pos="720"/>
              </w:tabs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Кучерявий В.П. Екологія. Львів: Світ – 2000. – 499 с.</w:t>
            </w:r>
          </w:p>
          <w:p w:rsidR="00392D23" w:rsidRPr="00963736" w:rsidRDefault="00963736" w:rsidP="00963736">
            <w:pPr>
              <w:numPr>
                <w:ilvl w:val="0"/>
                <w:numId w:val="8"/>
              </w:numPr>
              <w:tabs>
                <w:tab w:val="clear" w:pos="720"/>
              </w:tabs>
              <w:ind w:left="3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Нейко Є.М., Глушко Л.В., Мізюк М.І. Основи екології. Посібник для практичних занять. К.: Здоров’я – 2006</w:t>
            </w:r>
          </w:p>
        </w:tc>
      </w:tr>
    </w:tbl>
    <w:p w:rsidR="00392D23" w:rsidRPr="00396E63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396E63" w:rsidSect="00E107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03F3"/>
    <w:multiLevelType w:val="hybridMultilevel"/>
    <w:tmpl w:val="82A21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F591B"/>
    <w:multiLevelType w:val="hybridMultilevel"/>
    <w:tmpl w:val="61C42414"/>
    <w:lvl w:ilvl="0" w:tplc="7862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96D0E"/>
    <w:multiLevelType w:val="hybridMultilevel"/>
    <w:tmpl w:val="C26E7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C5749"/>
    <w:multiLevelType w:val="hybridMultilevel"/>
    <w:tmpl w:val="A4783FF2"/>
    <w:lvl w:ilvl="0" w:tplc="547ED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E0F5B"/>
    <w:multiLevelType w:val="hybridMultilevel"/>
    <w:tmpl w:val="758C1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24C7B"/>
    <w:multiLevelType w:val="hybridMultilevel"/>
    <w:tmpl w:val="C26E7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A61F7"/>
    <w:multiLevelType w:val="hybridMultilevel"/>
    <w:tmpl w:val="061245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32B36"/>
    <w:rsid w:val="000F4EDD"/>
    <w:rsid w:val="001135E2"/>
    <w:rsid w:val="001425FD"/>
    <w:rsid w:val="001D0891"/>
    <w:rsid w:val="00213F20"/>
    <w:rsid w:val="00246809"/>
    <w:rsid w:val="00276C42"/>
    <w:rsid w:val="0028088A"/>
    <w:rsid w:val="00295510"/>
    <w:rsid w:val="00297A57"/>
    <w:rsid w:val="002C40AD"/>
    <w:rsid w:val="00340BA7"/>
    <w:rsid w:val="00392D23"/>
    <w:rsid w:val="00396E63"/>
    <w:rsid w:val="003C4985"/>
    <w:rsid w:val="00402BCE"/>
    <w:rsid w:val="004A2F33"/>
    <w:rsid w:val="004B7818"/>
    <w:rsid w:val="004D6F67"/>
    <w:rsid w:val="004E2C2F"/>
    <w:rsid w:val="00526D7D"/>
    <w:rsid w:val="00601697"/>
    <w:rsid w:val="006618B7"/>
    <w:rsid w:val="0066216F"/>
    <w:rsid w:val="006833C5"/>
    <w:rsid w:val="00705681"/>
    <w:rsid w:val="007B1F80"/>
    <w:rsid w:val="007E3FBF"/>
    <w:rsid w:val="007F7F2A"/>
    <w:rsid w:val="00841330"/>
    <w:rsid w:val="008842E1"/>
    <w:rsid w:val="008A059F"/>
    <w:rsid w:val="008F1408"/>
    <w:rsid w:val="00963736"/>
    <w:rsid w:val="00994568"/>
    <w:rsid w:val="00A26453"/>
    <w:rsid w:val="00A434B2"/>
    <w:rsid w:val="00AB4469"/>
    <w:rsid w:val="00B30933"/>
    <w:rsid w:val="00B46DB5"/>
    <w:rsid w:val="00B64A4D"/>
    <w:rsid w:val="00BA1DB7"/>
    <w:rsid w:val="00BB08ED"/>
    <w:rsid w:val="00BC1FA3"/>
    <w:rsid w:val="00C60ABA"/>
    <w:rsid w:val="00D4320E"/>
    <w:rsid w:val="00D84F12"/>
    <w:rsid w:val="00DA3F3F"/>
    <w:rsid w:val="00DB13EC"/>
    <w:rsid w:val="00DE163A"/>
    <w:rsid w:val="00E10716"/>
    <w:rsid w:val="00E237EC"/>
    <w:rsid w:val="00E41F89"/>
    <w:rsid w:val="00E47EA8"/>
    <w:rsid w:val="00E52E3E"/>
    <w:rsid w:val="00E638AF"/>
    <w:rsid w:val="00E93013"/>
    <w:rsid w:val="00EE6723"/>
    <w:rsid w:val="00F97CF8"/>
    <w:rsid w:val="00FD2356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76C4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4EDD"/>
    <w:pPr>
      <w:ind w:left="720"/>
      <w:contextualSpacing/>
    </w:pPr>
  </w:style>
  <w:style w:type="paragraph" w:customStyle="1" w:styleId="Default">
    <w:name w:val="Default"/>
    <w:rsid w:val="00E52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ldalszm">
    <w:name w:val="page number"/>
    <w:basedOn w:val="Bekezdsalapbettpusa"/>
    <w:rsid w:val="0068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mf.uz.ua/uk/infocen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dnagy.istvan@kmf.uz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54367-B446-458E-BF4C-73C97A91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1330</Words>
  <Characters>9182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Szerző</cp:lastModifiedBy>
  <cp:revision>8</cp:revision>
  <dcterms:created xsi:type="dcterms:W3CDTF">2022-11-05T19:04:00Z</dcterms:created>
  <dcterms:modified xsi:type="dcterms:W3CDTF">2022-11-06T17:42:00Z</dcterms:modified>
</cp:coreProperties>
</file>