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4D8" w:rsidRDefault="006A74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4D8" w:rsidRDefault="00C27DA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Закарпатський угорський інститут ім. Ференца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Ракоці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ІІ</w:t>
      </w:r>
    </w:p>
    <w:tbl>
      <w:tblPr>
        <w:tblStyle w:val="Rcsostblzat"/>
        <w:tblW w:w="95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0"/>
        <w:gridCol w:w="1368"/>
        <w:gridCol w:w="1672"/>
        <w:gridCol w:w="1368"/>
        <w:gridCol w:w="1824"/>
        <w:gridCol w:w="1520"/>
      </w:tblGrid>
      <w:tr w:rsidR="006A74D8">
        <w:trPr>
          <w:trHeight w:val="1453"/>
        </w:trPr>
        <w:tc>
          <w:tcPr>
            <w:tcW w:w="1819" w:type="dxa"/>
            <w:shd w:val="clear" w:color="auto" w:fill="auto"/>
            <w:tcMar>
              <w:left w:w="103" w:type="dxa"/>
            </w:tcMar>
          </w:tcPr>
          <w:p w:rsidR="006A74D8" w:rsidRDefault="006A7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74D8" w:rsidRDefault="00C27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Ступінь вищої освіти</w:t>
            </w:r>
          </w:p>
          <w:p w:rsidR="006A74D8" w:rsidRDefault="006A7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  <w:tcMar>
              <w:left w:w="103" w:type="dxa"/>
            </w:tcMar>
          </w:tcPr>
          <w:p w:rsidR="006A74D8" w:rsidRDefault="00C27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BSc</w:t>
            </w:r>
            <w:proofErr w:type="spellEnd"/>
          </w:p>
        </w:tc>
        <w:tc>
          <w:tcPr>
            <w:tcW w:w="1672" w:type="dxa"/>
            <w:shd w:val="clear" w:color="auto" w:fill="auto"/>
            <w:tcMar>
              <w:left w:w="103" w:type="dxa"/>
            </w:tcMar>
          </w:tcPr>
          <w:p w:rsidR="006A74D8" w:rsidRDefault="006A7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74D8" w:rsidRDefault="006A7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74D8" w:rsidRDefault="00C27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368" w:type="dxa"/>
            <w:shd w:val="clear" w:color="auto" w:fill="auto"/>
            <w:tcMar>
              <w:left w:w="103" w:type="dxa"/>
            </w:tcMar>
          </w:tcPr>
          <w:p w:rsidR="006A74D8" w:rsidRPr="00C27DAF" w:rsidRDefault="00C27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27D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(заочна)</w:t>
            </w:r>
          </w:p>
        </w:tc>
        <w:tc>
          <w:tcPr>
            <w:tcW w:w="1824" w:type="dxa"/>
            <w:shd w:val="clear" w:color="auto" w:fill="auto"/>
            <w:tcMar>
              <w:left w:w="103" w:type="dxa"/>
            </w:tcMar>
          </w:tcPr>
          <w:p w:rsidR="006A74D8" w:rsidRDefault="006A7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74D8" w:rsidRDefault="00C27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Навчальний рік/семестр</w:t>
            </w:r>
          </w:p>
        </w:tc>
        <w:tc>
          <w:tcPr>
            <w:tcW w:w="1520" w:type="dxa"/>
            <w:shd w:val="clear" w:color="auto" w:fill="auto"/>
            <w:tcMar>
              <w:left w:w="103" w:type="dxa"/>
            </w:tcMar>
          </w:tcPr>
          <w:p w:rsidR="006A74D8" w:rsidRDefault="00C27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ІІІ/5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  <w:proofErr w:type="spellEnd"/>
          </w:p>
        </w:tc>
      </w:tr>
    </w:tbl>
    <w:p w:rsidR="006A74D8" w:rsidRDefault="00C27DAF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Силабус</w:t>
      </w:r>
      <w:proofErr w:type="spellEnd"/>
      <w:r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 xml:space="preserve"> </w:t>
      </w:r>
    </w:p>
    <w:tbl>
      <w:tblPr>
        <w:tblStyle w:val="Rcsostblzat"/>
        <w:tblW w:w="9493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148"/>
        <w:gridCol w:w="6345"/>
      </w:tblGrid>
      <w:tr w:rsidR="006A74D8">
        <w:tc>
          <w:tcPr>
            <w:tcW w:w="3148" w:type="dxa"/>
            <w:shd w:val="clear" w:color="auto" w:fill="D9D9D9" w:themeFill="background1" w:themeFillShade="D9"/>
            <w:tcMar>
              <w:left w:w="103" w:type="dxa"/>
            </w:tcMar>
          </w:tcPr>
          <w:p w:rsidR="006A74D8" w:rsidRDefault="006A7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74D8" w:rsidRDefault="00C27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6344" w:type="dxa"/>
            <w:shd w:val="clear" w:color="auto" w:fill="auto"/>
            <w:tcMar>
              <w:left w:w="103" w:type="dxa"/>
            </w:tcMar>
          </w:tcPr>
          <w:p w:rsidR="006A74D8" w:rsidRDefault="00C27DAF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Безпека життєдіяльності</w:t>
            </w:r>
          </w:p>
        </w:tc>
      </w:tr>
      <w:tr w:rsidR="006A74D8">
        <w:tc>
          <w:tcPr>
            <w:tcW w:w="3148" w:type="dxa"/>
            <w:shd w:val="clear" w:color="auto" w:fill="D9D9D9" w:themeFill="background1" w:themeFillShade="D9"/>
            <w:tcMar>
              <w:left w:w="103" w:type="dxa"/>
            </w:tcMar>
          </w:tcPr>
          <w:p w:rsidR="006A74D8" w:rsidRDefault="006A7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74D8" w:rsidRDefault="00C27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6344" w:type="dxa"/>
            <w:shd w:val="clear" w:color="auto" w:fill="auto"/>
            <w:tcMar>
              <w:left w:w="103" w:type="dxa"/>
            </w:tcMar>
          </w:tcPr>
          <w:p w:rsidR="006A74D8" w:rsidRDefault="00C27DAF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Біології та хімії</w:t>
            </w:r>
          </w:p>
        </w:tc>
      </w:tr>
      <w:tr w:rsidR="006A74D8">
        <w:tc>
          <w:tcPr>
            <w:tcW w:w="3148" w:type="dxa"/>
            <w:shd w:val="clear" w:color="auto" w:fill="D9D9D9" w:themeFill="background1" w:themeFillShade="D9"/>
            <w:tcMar>
              <w:left w:w="103" w:type="dxa"/>
            </w:tcMar>
          </w:tcPr>
          <w:p w:rsidR="006A74D8" w:rsidRDefault="006A7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74D8" w:rsidRDefault="00C27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Освітня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програма</w:t>
            </w:r>
            <w:proofErr w:type="spellEnd"/>
          </w:p>
        </w:tc>
        <w:tc>
          <w:tcPr>
            <w:tcW w:w="6344" w:type="dxa"/>
            <w:shd w:val="clear" w:color="auto" w:fill="auto"/>
            <w:tcMar>
              <w:left w:w="103" w:type="dxa"/>
            </w:tcMar>
          </w:tcPr>
          <w:p w:rsidR="006A74D8" w:rsidRDefault="00C27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BSc</w:t>
            </w:r>
            <w:proofErr w:type="spellEnd"/>
          </w:p>
        </w:tc>
      </w:tr>
      <w:tr w:rsidR="006A74D8">
        <w:tc>
          <w:tcPr>
            <w:tcW w:w="3148" w:type="dxa"/>
            <w:shd w:val="clear" w:color="auto" w:fill="D9D9D9" w:themeFill="background1" w:themeFillShade="D9"/>
            <w:tcMar>
              <w:left w:w="103" w:type="dxa"/>
            </w:tcMar>
          </w:tcPr>
          <w:p w:rsidR="006A74D8" w:rsidRDefault="00C27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дисципліни, кількість кредитів та годин (лекції/ практичні/семінарські/ лабораторні заняття/самостійна робота)</w:t>
            </w:r>
          </w:p>
        </w:tc>
        <w:tc>
          <w:tcPr>
            <w:tcW w:w="6344" w:type="dxa"/>
            <w:shd w:val="clear" w:color="auto" w:fill="auto"/>
            <w:tcMar>
              <w:left w:w="103" w:type="dxa"/>
            </w:tcMar>
          </w:tcPr>
          <w:p w:rsidR="006A74D8" w:rsidRDefault="006A7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4D8" w:rsidRDefault="00C27DA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дисципліни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обов’язкова чи вибіркова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):  </w:t>
            </w:r>
            <w:r w:rsidR="002161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обов’язкова</w:t>
            </w:r>
          </w:p>
          <w:p w:rsidR="006A74D8" w:rsidRDefault="00C27DA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кредитів</w:t>
            </w:r>
            <w:r w:rsidR="00216189">
              <w:rPr>
                <w:rFonts w:ascii="Times New Roman" w:hAnsi="Times New Roman" w:cs="Times New Roman"/>
                <w:sz w:val="24"/>
                <w:szCs w:val="24"/>
              </w:rPr>
              <w:t>: 3</w:t>
            </w:r>
            <w:bookmarkStart w:id="0" w:name="_GoBack"/>
            <w:bookmarkEnd w:id="0"/>
          </w:p>
          <w:p w:rsidR="006A74D8" w:rsidRPr="00C27DAF" w:rsidRDefault="00C27DAF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20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денна)/ 4 (заочна)</w:t>
            </w:r>
          </w:p>
          <w:p w:rsidR="006A74D8" w:rsidRPr="00C27DAF" w:rsidRDefault="00C27DAF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(семінарські) заняття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10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денна)/ 0 (заочна)</w:t>
            </w:r>
          </w:p>
          <w:p w:rsidR="006A74D8" w:rsidRPr="00C27DAF" w:rsidRDefault="00C27DAF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Лабораторні заняття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денна)/ 0 (заочна)</w:t>
            </w:r>
          </w:p>
          <w:p w:rsidR="006A74D8" w:rsidRPr="00C27DAF" w:rsidRDefault="00C27DAF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робота</w:t>
            </w:r>
            <w:r w:rsidR="003E039A">
              <w:rPr>
                <w:rFonts w:ascii="Times New Roman" w:hAnsi="Times New Roman" w:cs="Times New Roman"/>
                <w:sz w:val="24"/>
                <w:szCs w:val="24"/>
              </w:rPr>
              <w:t>: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(</w:t>
            </w:r>
            <w:r w:rsidR="003E03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денна)/ </w:t>
            </w:r>
            <w:r w:rsidR="003E03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(заочна)</w:t>
            </w:r>
          </w:p>
          <w:p w:rsidR="006A74D8" w:rsidRDefault="006A74D8">
            <w:pPr>
              <w:spacing w:after="0" w:line="240" w:lineRule="auto"/>
            </w:pPr>
          </w:p>
        </w:tc>
      </w:tr>
      <w:tr w:rsidR="006A74D8">
        <w:tc>
          <w:tcPr>
            <w:tcW w:w="3148" w:type="dxa"/>
            <w:shd w:val="clear" w:color="auto" w:fill="D9D9D9" w:themeFill="background1" w:themeFillShade="D9"/>
            <w:tcMar>
              <w:left w:w="103" w:type="dxa"/>
            </w:tcMar>
          </w:tcPr>
          <w:p w:rsidR="006A74D8" w:rsidRDefault="00C27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Викладач(і) відповідальний(і) за викладання навчальної дисципліни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імена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наукові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ступені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звання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адреса електронної пошти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в)</w:t>
            </w:r>
          </w:p>
        </w:tc>
        <w:tc>
          <w:tcPr>
            <w:tcW w:w="6344" w:type="dxa"/>
            <w:shd w:val="clear" w:color="auto" w:fill="auto"/>
            <w:tcMar>
              <w:left w:w="103" w:type="dxa"/>
            </w:tcMar>
          </w:tcPr>
          <w:p w:rsidR="006A74D8" w:rsidRDefault="00C27DAF">
            <w:pPr>
              <w:spacing w:after="0" w:line="240" w:lineRule="auto"/>
            </w:pPr>
            <w:proofErr w:type="spellStart"/>
            <w:r>
              <w:t>Желіцькі</w:t>
            </w:r>
            <w:proofErr w:type="spellEnd"/>
            <w:r>
              <w:t xml:space="preserve"> </w:t>
            </w:r>
            <w:proofErr w:type="spellStart"/>
            <w:r>
              <w:t>Іштван</w:t>
            </w:r>
            <w:proofErr w:type="spellEnd"/>
          </w:p>
          <w:p w:rsidR="006A74D8" w:rsidRDefault="001F7D65">
            <w:pPr>
              <w:spacing w:after="0" w:line="240" w:lineRule="auto"/>
            </w:pPr>
            <w:hyperlink r:id="rId8">
              <w:r w:rsidR="00C27DAF">
                <w:rPr>
                  <w:rStyle w:val="Internet-hivatkozs"/>
                </w:rPr>
                <w:t>zselicki.istvan@kmf.org.ua</w:t>
              </w:r>
            </w:hyperlink>
          </w:p>
        </w:tc>
      </w:tr>
      <w:tr w:rsidR="006A74D8">
        <w:tc>
          <w:tcPr>
            <w:tcW w:w="3148" w:type="dxa"/>
            <w:shd w:val="clear" w:color="auto" w:fill="D9D9D9" w:themeFill="background1" w:themeFillShade="D9"/>
            <w:tcMar>
              <w:left w:w="103" w:type="dxa"/>
            </w:tcMar>
          </w:tcPr>
          <w:p w:rsidR="006A74D8" w:rsidRDefault="00C27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1" w:name="_Hlk50125193"/>
            <w:bookmarkEnd w:id="1"/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Пререквізити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навчальної дисципліни</w:t>
            </w:r>
          </w:p>
        </w:tc>
        <w:tc>
          <w:tcPr>
            <w:tcW w:w="6344" w:type="dxa"/>
            <w:shd w:val="clear" w:color="auto" w:fill="auto"/>
            <w:tcMar>
              <w:left w:w="103" w:type="dxa"/>
            </w:tcMar>
          </w:tcPr>
          <w:p w:rsidR="006A74D8" w:rsidRDefault="00C27DAF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Основні біологічні знання</w:t>
            </w:r>
          </w:p>
        </w:tc>
      </w:tr>
      <w:tr w:rsidR="006A74D8">
        <w:tc>
          <w:tcPr>
            <w:tcW w:w="3148" w:type="dxa"/>
            <w:shd w:val="clear" w:color="auto" w:fill="D9D9D9" w:themeFill="background1" w:themeFillShade="D9"/>
            <w:tcMar>
              <w:left w:w="103" w:type="dxa"/>
            </w:tcMar>
          </w:tcPr>
          <w:p w:rsidR="006A74D8" w:rsidRDefault="00C27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Анотація дисципліни, мета, завдання та очікувані програмні результати  навчальної дисципліни, загальні та фахові компетентності, основна тематика дисципліни </w:t>
            </w:r>
          </w:p>
        </w:tc>
        <w:tc>
          <w:tcPr>
            <w:tcW w:w="6344" w:type="dxa"/>
            <w:shd w:val="clear" w:color="auto" w:fill="auto"/>
            <w:tcMar>
              <w:left w:w="103" w:type="dxa"/>
            </w:tcMar>
          </w:tcPr>
          <w:p w:rsidR="006A74D8" w:rsidRDefault="00C27DAF">
            <w:pPr>
              <w:shd w:val="clear" w:color="auto" w:fill="FFFFFF"/>
              <w:spacing w:after="0"/>
              <w:ind w:firstLine="48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Забезпечити відповідні сучасним вимогам знання студентів про загальні закономірності виникнення і розвитку небезпек, надзвичайних ситуацій, в першу чергу техногенного характеру, їх властивості, можливий вплив на життя і здоров'я людини та сформувати необхідні в майбутній практичній діяльності спеціаліста уміння і навички для їх запобігання і ліквідації, захисту людей та навколишнього середовища;</w:t>
            </w:r>
            <w:r>
              <w:rPr>
                <w:color w:val="000000"/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формування у студентів елементів світогляду щодо створення безпечних умов життя і діяльності, опанування принципів гармонійного розвитку особистості та сталого розвитку суспільства.</w:t>
            </w:r>
          </w:p>
          <w:p w:rsidR="006A74D8" w:rsidRDefault="00C27DAF">
            <w:pPr>
              <w:shd w:val="clear" w:color="auto" w:fill="FFFFFF"/>
              <w:spacing w:after="0" w:line="240" w:lineRule="auto"/>
              <w:ind w:firstLine="48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Навчити студентів ідентифікувати потенційні небезпеки, тобто </w:t>
            </w:r>
            <w:proofErr w:type="spellStart"/>
            <w:r>
              <w:rPr>
                <w:szCs w:val="28"/>
                <w:lang w:val="uk-UA"/>
              </w:rPr>
              <w:t>розпізновати</w:t>
            </w:r>
            <w:proofErr w:type="spellEnd"/>
            <w:r>
              <w:rPr>
                <w:szCs w:val="28"/>
                <w:lang w:val="uk-UA"/>
              </w:rPr>
              <w:t xml:space="preserve"> їх вид, ви</w:t>
            </w:r>
            <w:r>
              <w:rPr>
                <w:szCs w:val="28"/>
                <w:lang w:val="uk-UA"/>
              </w:rPr>
              <w:softHyphen/>
              <w:t>значати просторові та часові координати, величину та імовірність їх прояву; визначати небезпечні, шкідливі та вражаючі фактори, що породжують</w:t>
            </w:r>
            <w:r>
              <w:rPr>
                <w:szCs w:val="28"/>
                <w:lang w:val="uk-UA"/>
              </w:rPr>
              <w:softHyphen/>
              <w:t xml:space="preserve">ся </w:t>
            </w:r>
            <w:r>
              <w:rPr>
                <w:szCs w:val="28"/>
                <w:lang w:val="uk-UA"/>
              </w:rPr>
              <w:lastRenderedPageBreak/>
              <w:t>джерелами цих небезпек; прогнозувати можливість впливу небезпечних та шкідливих факторів на організм людини, а вражаючих факторів на безпеку системи "людина-життєве середовище"; використовувати нормативно-правову базу захисту особистості та навколишнього середовища, прав особи на працю, медичне забезпечення, захист у надзвичайних ситуаціях тощо; розробляти заходи на застосовувати засоби захисту від дії небезпеч</w:t>
            </w:r>
            <w:r>
              <w:rPr>
                <w:szCs w:val="28"/>
                <w:lang w:val="uk-UA"/>
              </w:rPr>
              <w:softHyphen/>
              <w:t xml:space="preserve">них, шкідливих та вражаючих факторів; запобігати виникненню надзвичайних ситуацій, а в разі їх виникнення приймати адекватні рішення та виконувати дії, спрямовані на їх </w:t>
            </w:r>
            <w:proofErr w:type="spellStart"/>
            <w:r>
              <w:rPr>
                <w:szCs w:val="28"/>
                <w:lang w:val="uk-UA"/>
              </w:rPr>
              <w:t>ліквідацію;у</w:t>
            </w:r>
            <w:proofErr w:type="spellEnd"/>
            <w:r>
              <w:rPr>
                <w:szCs w:val="28"/>
                <w:lang w:val="uk-UA"/>
              </w:rPr>
              <w:t xml:space="preserve"> засвоєнні студентами теоретичних знань та </w:t>
            </w:r>
            <w:proofErr w:type="spellStart"/>
            <w:r>
              <w:rPr>
                <w:szCs w:val="28"/>
                <w:lang w:val="uk-UA"/>
              </w:rPr>
              <w:t>рактичних</w:t>
            </w:r>
            <w:proofErr w:type="spellEnd"/>
            <w:r>
              <w:rPr>
                <w:szCs w:val="28"/>
                <w:lang w:val="uk-UA"/>
              </w:rPr>
              <w:t xml:space="preserve"> умінь з виявлення негативного впливу на життєдіяльність людини зовнішніх та внутрішніх чинників і обґрунтування оптимальних умов життя і діяльності людини.</w:t>
            </w:r>
          </w:p>
          <w:p w:rsidR="006A74D8" w:rsidRDefault="00C27DAF">
            <w:pPr>
              <w:tabs>
                <w:tab w:val="left" w:pos="0"/>
              </w:tabs>
              <w:spacing w:after="0" w:line="240" w:lineRule="auto"/>
              <w:ind w:firstLine="709"/>
              <w:jc w:val="both"/>
            </w:pPr>
            <w:proofErr w:type="spellStart"/>
            <w:r>
              <w:t>Основи</w:t>
            </w:r>
            <w:proofErr w:type="spellEnd"/>
            <w:r>
              <w:t xml:space="preserve"> </w:t>
            </w:r>
            <w:proofErr w:type="spellStart"/>
            <w:r>
              <w:t>безпеки</w:t>
            </w:r>
            <w:proofErr w:type="spellEnd"/>
            <w:r>
              <w:t xml:space="preserve"> </w:t>
            </w:r>
            <w:proofErr w:type="spellStart"/>
            <w:r>
              <w:t>життєдіяльності</w:t>
            </w:r>
            <w:proofErr w:type="spellEnd"/>
            <w:r>
              <w:t>.</w:t>
            </w:r>
          </w:p>
          <w:p w:rsidR="006A74D8" w:rsidRDefault="00C27DAF">
            <w:pPr>
              <w:tabs>
                <w:tab w:val="left" w:pos="0"/>
              </w:tabs>
              <w:spacing w:after="0" w:line="240" w:lineRule="auto"/>
              <w:ind w:firstLine="709"/>
              <w:jc w:val="both"/>
            </w:pPr>
            <w:proofErr w:type="spellStart"/>
            <w:r>
              <w:t>Основні</w:t>
            </w:r>
            <w:proofErr w:type="spellEnd"/>
            <w:r>
              <w:t xml:space="preserve"> </w:t>
            </w:r>
            <w:proofErr w:type="spellStart"/>
            <w:r>
              <w:t>поняття</w:t>
            </w:r>
            <w:proofErr w:type="spellEnd"/>
            <w:r>
              <w:t xml:space="preserve"> </w:t>
            </w:r>
            <w:proofErr w:type="spellStart"/>
            <w:r>
              <w:t>безпеки</w:t>
            </w:r>
            <w:proofErr w:type="spellEnd"/>
            <w:r>
              <w:t xml:space="preserve"> </w:t>
            </w:r>
            <w:proofErr w:type="spellStart"/>
            <w:r>
              <w:t>життєдіяльності</w:t>
            </w:r>
            <w:proofErr w:type="spellEnd"/>
            <w:r>
              <w:t>.</w:t>
            </w:r>
          </w:p>
          <w:p w:rsidR="006A74D8" w:rsidRDefault="00C27DAF">
            <w:pPr>
              <w:tabs>
                <w:tab w:val="left" w:pos="0"/>
              </w:tabs>
              <w:spacing w:after="0" w:line="240" w:lineRule="auto"/>
              <w:ind w:firstLine="709"/>
              <w:jc w:val="both"/>
            </w:pPr>
            <w:proofErr w:type="spellStart"/>
            <w:r>
              <w:t>Людина</w:t>
            </w:r>
            <w:proofErr w:type="spellEnd"/>
            <w:r>
              <w:t xml:space="preserve"> </w:t>
            </w:r>
            <w:proofErr w:type="spellStart"/>
            <w:r>
              <w:t>як</w:t>
            </w:r>
            <w:proofErr w:type="spellEnd"/>
            <w:r>
              <w:t xml:space="preserve"> </w:t>
            </w:r>
            <w:proofErr w:type="spellStart"/>
            <w:r>
              <w:t>біологічний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соціальний</w:t>
            </w:r>
            <w:proofErr w:type="spellEnd"/>
            <w:r>
              <w:t xml:space="preserve"> </w:t>
            </w:r>
            <w:proofErr w:type="spellStart"/>
            <w:r>
              <w:t>суб</w:t>
            </w:r>
            <w:proofErr w:type="spellEnd"/>
            <w:r>
              <w:t>’</w:t>
            </w:r>
            <w:proofErr w:type="spellStart"/>
            <w:r>
              <w:t>єкт</w:t>
            </w:r>
            <w:proofErr w:type="spellEnd"/>
            <w:r>
              <w:t xml:space="preserve">. </w:t>
            </w:r>
            <w:proofErr w:type="spellStart"/>
            <w:r>
              <w:t>Психо-фізіологічні</w:t>
            </w:r>
            <w:proofErr w:type="spellEnd"/>
            <w:r>
              <w:t xml:space="preserve"> </w:t>
            </w:r>
            <w:proofErr w:type="spellStart"/>
            <w:r>
              <w:t>особливості</w:t>
            </w:r>
            <w:proofErr w:type="spellEnd"/>
            <w:r>
              <w:t xml:space="preserve"> </w:t>
            </w:r>
            <w:proofErr w:type="spellStart"/>
            <w:r>
              <w:t>дюдини</w:t>
            </w:r>
            <w:proofErr w:type="spellEnd"/>
            <w:r>
              <w:t>.</w:t>
            </w:r>
          </w:p>
          <w:p w:rsidR="006A74D8" w:rsidRDefault="00C27DAF">
            <w:pPr>
              <w:tabs>
                <w:tab w:val="left" w:pos="0"/>
              </w:tabs>
              <w:spacing w:after="0" w:line="240" w:lineRule="auto"/>
              <w:ind w:firstLine="709"/>
              <w:jc w:val="both"/>
            </w:pPr>
            <w:proofErr w:type="spellStart"/>
            <w:r>
              <w:t>Медико-біологічні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соціальні</w:t>
            </w:r>
            <w:proofErr w:type="spellEnd"/>
            <w:r>
              <w:t xml:space="preserve"> </w:t>
            </w:r>
            <w:proofErr w:type="spellStart"/>
            <w:r>
              <w:t>проблеми</w:t>
            </w:r>
            <w:proofErr w:type="spellEnd"/>
            <w:r>
              <w:t xml:space="preserve"> </w:t>
            </w:r>
            <w:proofErr w:type="spellStart"/>
            <w:r>
              <w:t>здоров</w:t>
            </w:r>
            <w:proofErr w:type="spellEnd"/>
            <w:r>
              <w:t>’я.</w:t>
            </w:r>
          </w:p>
          <w:p w:rsidR="006A74D8" w:rsidRDefault="00C27DAF">
            <w:pPr>
              <w:tabs>
                <w:tab w:val="left" w:pos="0"/>
              </w:tabs>
              <w:spacing w:after="0" w:line="240" w:lineRule="auto"/>
              <w:ind w:firstLine="709"/>
              <w:jc w:val="both"/>
            </w:pPr>
            <w:proofErr w:type="spellStart"/>
            <w:r>
              <w:t>Середовище</w:t>
            </w:r>
            <w:proofErr w:type="spellEnd"/>
            <w:r>
              <w:t xml:space="preserve"> </w:t>
            </w:r>
            <w:proofErr w:type="spellStart"/>
            <w:r>
              <w:t>життєдіяльності</w:t>
            </w:r>
            <w:proofErr w:type="spellEnd"/>
            <w:r>
              <w:t xml:space="preserve"> </w:t>
            </w:r>
            <w:proofErr w:type="spellStart"/>
            <w:r>
              <w:t>людини</w:t>
            </w:r>
            <w:proofErr w:type="spellEnd"/>
            <w:r>
              <w:t>.</w:t>
            </w:r>
          </w:p>
          <w:p w:rsidR="006A74D8" w:rsidRDefault="00C27DAF">
            <w:pPr>
              <w:tabs>
                <w:tab w:val="left" w:pos="0"/>
              </w:tabs>
              <w:spacing w:after="0" w:line="240" w:lineRule="auto"/>
              <w:ind w:firstLine="709"/>
              <w:jc w:val="both"/>
            </w:pPr>
            <w:proofErr w:type="spellStart"/>
            <w:r>
              <w:t>Небезпеки</w:t>
            </w:r>
            <w:proofErr w:type="spellEnd"/>
            <w:r>
              <w:t xml:space="preserve"> </w:t>
            </w:r>
            <w:proofErr w:type="spellStart"/>
            <w:r>
              <w:t>виробничої</w:t>
            </w:r>
            <w:proofErr w:type="spellEnd"/>
            <w:r>
              <w:t xml:space="preserve"> </w:t>
            </w:r>
            <w:proofErr w:type="spellStart"/>
            <w:r>
              <w:t>сфери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побуту</w:t>
            </w:r>
            <w:proofErr w:type="spellEnd"/>
            <w:r>
              <w:t xml:space="preserve"> (</w:t>
            </w:r>
            <w:proofErr w:type="spellStart"/>
            <w:r>
              <w:t>шум</w:t>
            </w:r>
            <w:proofErr w:type="spellEnd"/>
            <w:r>
              <w:t xml:space="preserve">, </w:t>
            </w:r>
            <w:proofErr w:type="spellStart"/>
            <w:r>
              <w:t>вібрація</w:t>
            </w:r>
            <w:proofErr w:type="spellEnd"/>
            <w:r>
              <w:t xml:space="preserve">, </w:t>
            </w:r>
            <w:proofErr w:type="spellStart"/>
            <w:r>
              <w:t>іонізуючі</w:t>
            </w:r>
            <w:proofErr w:type="spellEnd"/>
            <w:r>
              <w:t xml:space="preserve"> </w:t>
            </w:r>
            <w:proofErr w:type="spellStart"/>
            <w:r>
              <w:t>випромінювання</w:t>
            </w:r>
            <w:proofErr w:type="spellEnd"/>
            <w:r>
              <w:t>).</w:t>
            </w:r>
          </w:p>
          <w:p w:rsidR="006A74D8" w:rsidRDefault="00C27DAF">
            <w:pPr>
              <w:tabs>
                <w:tab w:val="left" w:pos="0"/>
              </w:tabs>
              <w:spacing w:after="0" w:line="240" w:lineRule="auto"/>
              <w:ind w:firstLine="709"/>
              <w:jc w:val="both"/>
            </w:pPr>
            <w:proofErr w:type="spellStart"/>
            <w:r>
              <w:t>Небезпеки</w:t>
            </w:r>
            <w:proofErr w:type="spellEnd"/>
            <w:r>
              <w:t xml:space="preserve"> </w:t>
            </w:r>
            <w:proofErr w:type="spellStart"/>
            <w:r>
              <w:t>виробничої</w:t>
            </w:r>
            <w:proofErr w:type="spellEnd"/>
            <w:r>
              <w:t xml:space="preserve"> </w:t>
            </w:r>
            <w:proofErr w:type="spellStart"/>
            <w:r>
              <w:t>сфери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побуту</w:t>
            </w:r>
            <w:proofErr w:type="spellEnd"/>
            <w:r>
              <w:t xml:space="preserve"> (</w:t>
            </w:r>
            <w:proofErr w:type="spellStart"/>
            <w:r>
              <w:t>електричний</w:t>
            </w:r>
            <w:proofErr w:type="spellEnd"/>
            <w:r>
              <w:t xml:space="preserve"> </w:t>
            </w:r>
            <w:proofErr w:type="spellStart"/>
            <w:r>
              <w:t>струм</w:t>
            </w:r>
            <w:proofErr w:type="spellEnd"/>
            <w:r>
              <w:t xml:space="preserve">, </w:t>
            </w:r>
            <w:proofErr w:type="spellStart"/>
            <w:r>
              <w:t>електромагнітні</w:t>
            </w:r>
            <w:proofErr w:type="spellEnd"/>
            <w:r>
              <w:t xml:space="preserve"> </w:t>
            </w:r>
            <w:proofErr w:type="spellStart"/>
            <w:r>
              <w:t>випромінювання</w:t>
            </w:r>
            <w:proofErr w:type="spellEnd"/>
            <w:r>
              <w:t>).</w:t>
            </w:r>
          </w:p>
          <w:p w:rsidR="006A74D8" w:rsidRDefault="00C27DAF">
            <w:pPr>
              <w:tabs>
                <w:tab w:val="left" w:pos="0"/>
              </w:tabs>
              <w:spacing w:after="0" w:line="240" w:lineRule="auto"/>
              <w:ind w:firstLine="709"/>
              <w:jc w:val="both"/>
            </w:pPr>
            <w:proofErr w:type="spellStart"/>
            <w:r>
              <w:t>Хімічні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біологічні</w:t>
            </w:r>
            <w:proofErr w:type="spellEnd"/>
            <w:r>
              <w:t xml:space="preserve"> </w:t>
            </w:r>
            <w:proofErr w:type="spellStart"/>
            <w:r>
              <w:t>фактори</w:t>
            </w:r>
            <w:proofErr w:type="spellEnd"/>
            <w:r>
              <w:t xml:space="preserve"> </w:t>
            </w:r>
            <w:proofErr w:type="spellStart"/>
            <w:r>
              <w:t>небезпек</w:t>
            </w:r>
            <w:proofErr w:type="spellEnd"/>
          </w:p>
          <w:p w:rsidR="006A74D8" w:rsidRDefault="00C27DAF">
            <w:pPr>
              <w:tabs>
                <w:tab w:val="left" w:pos="0"/>
              </w:tabs>
              <w:spacing w:after="0" w:line="240" w:lineRule="auto"/>
              <w:ind w:firstLine="709"/>
              <w:jc w:val="both"/>
            </w:pPr>
            <w:proofErr w:type="spellStart"/>
            <w:r>
              <w:t>Психофізіологічні</w:t>
            </w:r>
            <w:proofErr w:type="spellEnd"/>
            <w:r>
              <w:t xml:space="preserve"> </w:t>
            </w:r>
            <w:proofErr w:type="spellStart"/>
            <w:r>
              <w:t>фактори</w:t>
            </w:r>
            <w:proofErr w:type="spellEnd"/>
            <w:r>
              <w:t xml:space="preserve"> </w:t>
            </w:r>
            <w:proofErr w:type="spellStart"/>
            <w:r>
              <w:t>небезпек</w:t>
            </w:r>
            <w:proofErr w:type="spellEnd"/>
            <w:r>
              <w:t>.</w:t>
            </w:r>
          </w:p>
          <w:p w:rsidR="006A74D8" w:rsidRDefault="00C27DAF">
            <w:pPr>
              <w:tabs>
                <w:tab w:val="left" w:pos="0"/>
              </w:tabs>
              <w:spacing w:after="0" w:line="240" w:lineRule="auto"/>
              <w:ind w:firstLine="709"/>
              <w:jc w:val="both"/>
            </w:pPr>
            <w:proofErr w:type="spellStart"/>
            <w:r>
              <w:t>Глобальні</w:t>
            </w:r>
            <w:proofErr w:type="spellEnd"/>
            <w:r>
              <w:t xml:space="preserve"> </w:t>
            </w:r>
            <w:proofErr w:type="spellStart"/>
            <w:r>
              <w:t>небезпеки</w:t>
            </w:r>
            <w:proofErr w:type="spellEnd"/>
            <w:r>
              <w:t xml:space="preserve"> </w:t>
            </w:r>
            <w:proofErr w:type="spellStart"/>
            <w:r>
              <w:t>життєдіяльності</w:t>
            </w:r>
            <w:proofErr w:type="spellEnd"/>
            <w:r>
              <w:t xml:space="preserve"> </w:t>
            </w:r>
            <w:proofErr w:type="spellStart"/>
            <w:r>
              <w:t>людства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заходи</w:t>
            </w:r>
            <w:proofErr w:type="spellEnd"/>
            <w:r>
              <w:t xml:space="preserve"> </w:t>
            </w:r>
            <w:proofErr w:type="spellStart"/>
            <w:r>
              <w:t>зниження</w:t>
            </w:r>
            <w:proofErr w:type="spellEnd"/>
            <w:r>
              <w:t xml:space="preserve">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наслідків</w:t>
            </w:r>
            <w:proofErr w:type="spellEnd"/>
          </w:p>
          <w:p w:rsidR="006A74D8" w:rsidRDefault="00C27DAF">
            <w:pPr>
              <w:tabs>
                <w:tab w:val="left" w:pos="0"/>
              </w:tabs>
              <w:spacing w:after="0" w:line="240" w:lineRule="auto"/>
              <w:ind w:firstLine="709"/>
              <w:jc w:val="both"/>
            </w:pPr>
            <w:proofErr w:type="spellStart"/>
            <w:r>
              <w:t>Небезпеки</w:t>
            </w:r>
            <w:proofErr w:type="spellEnd"/>
            <w:r>
              <w:t xml:space="preserve"> в </w:t>
            </w:r>
            <w:proofErr w:type="spellStart"/>
            <w:r>
              <w:t>умовах</w:t>
            </w:r>
            <w:proofErr w:type="spellEnd"/>
            <w:r>
              <w:t xml:space="preserve"> </w:t>
            </w:r>
            <w:proofErr w:type="spellStart"/>
            <w:r>
              <w:t>надзвичайних</w:t>
            </w:r>
            <w:proofErr w:type="spellEnd"/>
            <w:r>
              <w:t xml:space="preserve"> </w:t>
            </w:r>
            <w:proofErr w:type="spellStart"/>
            <w:r>
              <w:t>ситуацій</w:t>
            </w:r>
            <w:proofErr w:type="spellEnd"/>
            <w:r>
              <w:t>.</w:t>
            </w:r>
          </w:p>
          <w:p w:rsidR="006A74D8" w:rsidRDefault="00C27DAF">
            <w:pPr>
              <w:tabs>
                <w:tab w:val="left" w:pos="0"/>
              </w:tabs>
              <w:spacing w:after="0" w:line="240" w:lineRule="auto"/>
              <w:ind w:firstLine="709"/>
              <w:jc w:val="both"/>
            </w:pPr>
            <w:proofErr w:type="spellStart"/>
            <w:r>
              <w:t>Основи</w:t>
            </w:r>
            <w:proofErr w:type="spellEnd"/>
            <w:r>
              <w:t xml:space="preserve"> </w:t>
            </w:r>
            <w:proofErr w:type="spellStart"/>
            <w:r>
              <w:t>здорового</w:t>
            </w:r>
            <w:proofErr w:type="spellEnd"/>
            <w:r>
              <w:t xml:space="preserve"> </w:t>
            </w:r>
            <w:proofErr w:type="spellStart"/>
            <w:r>
              <w:t>способу</w:t>
            </w:r>
            <w:proofErr w:type="spellEnd"/>
            <w:r>
              <w:t xml:space="preserve"> </w:t>
            </w:r>
            <w:proofErr w:type="spellStart"/>
            <w:r>
              <w:t>життя</w:t>
            </w:r>
            <w:proofErr w:type="spellEnd"/>
            <w:r>
              <w:t>.</w:t>
            </w:r>
          </w:p>
          <w:p w:rsidR="006A74D8" w:rsidRDefault="00C27DAF">
            <w:pPr>
              <w:tabs>
                <w:tab w:val="left" w:pos="0"/>
              </w:tabs>
              <w:spacing w:after="0" w:line="240" w:lineRule="auto"/>
              <w:ind w:firstLine="709"/>
              <w:jc w:val="both"/>
            </w:pPr>
            <w:proofErr w:type="spellStart"/>
            <w:r>
              <w:t>Безпека</w:t>
            </w:r>
            <w:proofErr w:type="spellEnd"/>
            <w:r>
              <w:t xml:space="preserve"> </w:t>
            </w:r>
            <w:proofErr w:type="spellStart"/>
            <w:r>
              <w:t>техногенного</w:t>
            </w:r>
            <w:proofErr w:type="spellEnd"/>
            <w:r>
              <w:t xml:space="preserve"> </w:t>
            </w:r>
            <w:proofErr w:type="spellStart"/>
            <w:r>
              <w:t>середовища</w:t>
            </w:r>
            <w:proofErr w:type="spellEnd"/>
            <w:r>
              <w:t>.</w:t>
            </w:r>
          </w:p>
          <w:p w:rsidR="006A74D8" w:rsidRDefault="00C27DAF">
            <w:pPr>
              <w:tabs>
                <w:tab w:val="left" w:pos="0"/>
              </w:tabs>
              <w:spacing w:after="0" w:line="240" w:lineRule="auto"/>
              <w:ind w:firstLine="709"/>
              <w:jc w:val="both"/>
            </w:pPr>
            <w:proofErr w:type="spellStart"/>
            <w:r>
              <w:t>Організаційно-правове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управління</w:t>
            </w:r>
            <w:proofErr w:type="spellEnd"/>
            <w:r>
              <w:t xml:space="preserve"> </w:t>
            </w:r>
            <w:proofErr w:type="spellStart"/>
            <w:r>
              <w:t>безпекою</w:t>
            </w:r>
            <w:proofErr w:type="spellEnd"/>
            <w:r>
              <w:t xml:space="preserve"> </w:t>
            </w:r>
            <w:proofErr w:type="spellStart"/>
            <w:r>
              <w:t>життєдіяльності</w:t>
            </w:r>
            <w:proofErr w:type="spellEnd"/>
            <w:r>
              <w:t>.</w:t>
            </w:r>
          </w:p>
          <w:p w:rsidR="00C27DAF" w:rsidRDefault="00C27DAF" w:rsidP="00C27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ахові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компетентності</w:t>
            </w:r>
            <w:proofErr w:type="spellEnd"/>
          </w:p>
          <w:p w:rsidR="00C27DAF" w:rsidRPr="009D27CC" w:rsidRDefault="00C27DAF" w:rsidP="00C27DAF">
            <w:pPr>
              <w:pStyle w:val="Default"/>
              <w:ind w:left="79" w:right="127"/>
              <w:jc w:val="both"/>
              <w:rPr>
                <w:lang w:val="uk-UA"/>
              </w:rPr>
            </w:pPr>
            <w:r w:rsidRPr="009D27CC">
              <w:rPr>
                <w:b/>
                <w:lang w:val="uk-UA"/>
              </w:rPr>
              <w:t>ФК-6. з</w:t>
            </w:r>
            <w:r w:rsidRPr="009D27CC">
              <w:rPr>
                <w:b/>
                <w:bCs/>
                <w:lang w:val="uk-UA"/>
              </w:rPr>
              <w:t xml:space="preserve">доров’язберігаюча </w:t>
            </w:r>
            <w:r w:rsidRPr="009D27CC">
              <w:rPr>
                <w:lang w:val="uk-UA"/>
              </w:rPr>
              <w:t>– здатність і готовність застосовувати ґрунтовні знання про сучасний стан науки про людину, розуміння процесів життєдіяльності людського організму, свідоме ставлення до власного здоров’я.</w:t>
            </w:r>
          </w:p>
          <w:p w:rsidR="00C27DAF" w:rsidRDefault="00C27DAF" w:rsidP="00C27DAF">
            <w:pPr>
              <w:pStyle w:val="Default"/>
              <w:ind w:left="79" w:right="127"/>
              <w:jc w:val="both"/>
              <w:rPr>
                <w:lang w:val="uk-UA"/>
              </w:rPr>
            </w:pPr>
            <w:r w:rsidRPr="009D27CC">
              <w:rPr>
                <w:b/>
                <w:lang w:val="uk-UA"/>
              </w:rPr>
              <w:t xml:space="preserve">ФК-7. </w:t>
            </w:r>
            <w:r w:rsidRPr="009D27CC">
              <w:rPr>
                <w:b/>
                <w:bCs/>
                <w:lang w:val="uk-UA"/>
              </w:rPr>
              <w:t xml:space="preserve">екологічна </w:t>
            </w:r>
            <w:r w:rsidRPr="009D27CC">
              <w:rPr>
                <w:lang w:val="uk-UA"/>
              </w:rPr>
              <w:t>– здатність і готовність застосовувати екологічні знання і досвід у професійних і життєвих ситуаціях, володіти навичками щодо оцінки стану навколишнього середовища та ведення; здатність до формування в учнів екологічного мислення.</w:t>
            </w:r>
          </w:p>
          <w:p w:rsidR="00C27DAF" w:rsidRDefault="00C27DAF">
            <w:pPr>
              <w:tabs>
                <w:tab w:val="left" w:pos="0"/>
              </w:tabs>
              <w:spacing w:after="0" w:line="240" w:lineRule="auto"/>
              <w:ind w:firstLine="709"/>
              <w:jc w:val="both"/>
            </w:pPr>
          </w:p>
        </w:tc>
      </w:tr>
      <w:tr w:rsidR="006A74D8">
        <w:tc>
          <w:tcPr>
            <w:tcW w:w="3148" w:type="dxa"/>
            <w:shd w:val="clear" w:color="auto" w:fill="D9D9D9" w:themeFill="background1" w:themeFillShade="D9"/>
            <w:tcMar>
              <w:left w:w="103" w:type="dxa"/>
            </w:tcMar>
          </w:tcPr>
          <w:p w:rsidR="006A74D8" w:rsidRDefault="00C27DAF">
            <w:pPr>
              <w:spacing w:after="0" w:line="240" w:lineRule="auto"/>
            </w:pPr>
            <w:bookmarkStart w:id="2" w:name="_Hlk50123234"/>
            <w:bookmarkEnd w:id="2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Критерії контролю та оцінювання результатів навчання</w:t>
            </w:r>
          </w:p>
        </w:tc>
        <w:tc>
          <w:tcPr>
            <w:tcW w:w="6344" w:type="dxa"/>
            <w:shd w:val="clear" w:color="auto" w:fill="auto"/>
            <w:tcMar>
              <w:left w:w="103" w:type="dxa"/>
            </w:tcMar>
          </w:tcPr>
          <w:p w:rsidR="006A74D8" w:rsidRDefault="00C27DAF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Обов’язковим є:        </w:t>
            </w:r>
          </w:p>
          <w:p w:rsidR="006A74D8" w:rsidRDefault="00C27DAF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– відвідування лекцій,</w:t>
            </w:r>
          </w:p>
          <w:p w:rsidR="006A74D8" w:rsidRDefault="00C27DAF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– відвідування практичних занять,</w:t>
            </w:r>
          </w:p>
          <w:p w:rsidR="006A74D8" w:rsidRDefault="00C27DAF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– своєчасне написання трьох тесових контрольних робіт, </w:t>
            </w:r>
          </w:p>
          <w:p w:rsidR="006A74D8" w:rsidRDefault="00C27DAF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– конспектування,</w:t>
            </w:r>
          </w:p>
          <w:p w:rsidR="006A74D8" w:rsidRDefault="00C27DAF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lastRenderedPageBreak/>
              <w:t>– опрацювання тематики винесеної на самостійну роботу студента,</w:t>
            </w:r>
          </w:p>
          <w:p w:rsidR="006A74D8" w:rsidRDefault="00C27DAF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– опрацювання питань для самостійної підготовки до контрольних робіт, іспиту.</w:t>
            </w:r>
          </w:p>
          <w:p w:rsidR="006A74D8" w:rsidRDefault="00C27DAF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Кількість пропущених занять не може перевищувати визначену в Положенні про навчальний процес в ЗУІ.</w:t>
            </w:r>
          </w:p>
          <w:p w:rsidR="006A74D8" w:rsidRDefault="00C27DAF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Вимогою до рівня засвоєння навчального матеріалу є:</w:t>
            </w:r>
          </w:p>
          <w:p w:rsidR="006A74D8" w:rsidRDefault="00C27DAF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– щонайменше задовільні оцінки за відповіді, контрольні роботи, реферати, колоквіуми, індивідуальні контрольні завдання (у заочників*).</w:t>
            </w:r>
          </w:p>
        </w:tc>
      </w:tr>
      <w:tr w:rsidR="006A74D8">
        <w:tc>
          <w:tcPr>
            <w:tcW w:w="3148" w:type="dxa"/>
            <w:shd w:val="clear" w:color="auto" w:fill="D9D9D9" w:themeFill="background1" w:themeFillShade="D9"/>
            <w:tcMar>
              <w:left w:w="103" w:type="dxa"/>
            </w:tcMar>
          </w:tcPr>
          <w:p w:rsidR="006A74D8" w:rsidRDefault="00C27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3" w:name="_Hlk50123319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Інша інформація про дисципліну (</w:t>
            </w:r>
            <w:bookmarkEnd w:id="3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технічне та програмне забезпечення дисципліни тощо) </w:t>
            </w:r>
          </w:p>
        </w:tc>
        <w:tc>
          <w:tcPr>
            <w:tcW w:w="6344" w:type="dxa"/>
            <w:shd w:val="clear" w:color="auto" w:fill="auto"/>
            <w:tcMar>
              <w:left w:w="103" w:type="dxa"/>
            </w:tcMar>
          </w:tcPr>
          <w:p w:rsidR="006A74D8" w:rsidRDefault="00C27DAF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Форму та умови ліквідації заборгованості (пропущених занять, незадовільних оцінок за відповіді, за контрольні роботи, реферати, колоквіуми) у відповідності до Положення про навчальний процес в ЗУІ визначає викладач, на заняттях якого виникла заборгованість, про що повідомляє кафедру та Навчальну частину.</w:t>
            </w:r>
          </w:p>
          <w:p w:rsidR="006A74D8" w:rsidRDefault="00C27DAF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Залік може бути проведений на підставі семестрової оцінки (поточно-модульного контролю), якщо є відповідне рішення кафедри, зафіксоване у протоколі і враховане у робочому навчальному плані і робочій програмі навчальної дисципліни.</w:t>
            </w:r>
          </w:p>
          <w:p w:rsidR="006A74D8" w:rsidRDefault="00C27DAF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Якщо формою підсумкового контролю з предмету є іспит або диференційований залік, то семестрова оцінка може бути врахована, як критерій допуску до іспиту, і зарахована на іспиті.</w:t>
            </w:r>
          </w:p>
        </w:tc>
      </w:tr>
      <w:tr w:rsidR="006A74D8">
        <w:tc>
          <w:tcPr>
            <w:tcW w:w="3148" w:type="dxa"/>
            <w:shd w:val="clear" w:color="auto" w:fill="D9D9D9" w:themeFill="background1" w:themeFillShade="D9"/>
            <w:tcMar>
              <w:left w:w="103" w:type="dxa"/>
            </w:tcMar>
          </w:tcPr>
          <w:p w:rsidR="006A74D8" w:rsidRDefault="00C27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Рекомендовані джерела (основна та допоміжна література), електронні інформаційні ресурси</w:t>
            </w:r>
          </w:p>
        </w:tc>
        <w:tc>
          <w:tcPr>
            <w:tcW w:w="6344" w:type="dxa"/>
            <w:shd w:val="clear" w:color="auto" w:fill="auto"/>
            <w:tcMar>
              <w:left w:w="103" w:type="dxa"/>
            </w:tcMar>
          </w:tcPr>
          <w:p w:rsidR="006A74D8" w:rsidRDefault="00C27DAF">
            <w:pPr>
              <w:spacing w:after="0" w:line="240" w:lineRule="auto"/>
            </w:pPr>
            <w:r>
              <w:t xml:space="preserve">1. </w:t>
            </w:r>
            <w:proofErr w:type="spellStart"/>
            <w:r>
              <w:t>Безпека</w:t>
            </w:r>
            <w:proofErr w:type="spellEnd"/>
            <w:r>
              <w:t xml:space="preserve"> </w:t>
            </w:r>
            <w:proofErr w:type="spellStart"/>
            <w:r>
              <w:t>життєдіяльності</w:t>
            </w:r>
            <w:proofErr w:type="spellEnd"/>
            <w:r>
              <w:t xml:space="preserve">: </w:t>
            </w:r>
            <w:proofErr w:type="spellStart"/>
            <w:r>
              <w:t>Підручник</w:t>
            </w:r>
            <w:proofErr w:type="spellEnd"/>
            <w:r>
              <w:t xml:space="preserve"> / В.Г. </w:t>
            </w:r>
            <w:proofErr w:type="spellStart"/>
            <w:r>
              <w:t>Цапко</w:t>
            </w:r>
            <w:proofErr w:type="spellEnd"/>
            <w:r>
              <w:t xml:space="preserve">, Д.І. </w:t>
            </w:r>
            <w:proofErr w:type="spellStart"/>
            <w:r>
              <w:t>Мазоренко</w:t>
            </w:r>
            <w:proofErr w:type="spellEnd"/>
            <w:r>
              <w:t xml:space="preserve">, Ю.С. </w:t>
            </w:r>
            <w:proofErr w:type="spellStart"/>
            <w:r>
              <w:t>Скобло</w:t>
            </w:r>
            <w:proofErr w:type="spellEnd"/>
            <w:r>
              <w:t xml:space="preserve">, Л.М. </w:t>
            </w:r>
            <w:proofErr w:type="spellStart"/>
            <w:r>
              <w:t>Тіщенко</w:t>
            </w:r>
            <w:proofErr w:type="spellEnd"/>
            <w:r>
              <w:t xml:space="preserve">; </w:t>
            </w:r>
            <w:proofErr w:type="spellStart"/>
            <w:r>
              <w:t>За</w:t>
            </w:r>
            <w:proofErr w:type="spellEnd"/>
            <w:r>
              <w:t xml:space="preserve">  </w:t>
            </w:r>
            <w:proofErr w:type="spellStart"/>
            <w:r>
              <w:t>ред</w:t>
            </w:r>
            <w:proofErr w:type="spellEnd"/>
            <w:r>
              <w:t xml:space="preserve">. В.Г. </w:t>
            </w:r>
            <w:proofErr w:type="spellStart"/>
            <w:r>
              <w:t>Цапка</w:t>
            </w:r>
            <w:proofErr w:type="spellEnd"/>
            <w:r>
              <w:t>. – К.:</w:t>
            </w:r>
            <w:proofErr w:type="spellStart"/>
            <w:r>
              <w:t>Знання</w:t>
            </w:r>
            <w:proofErr w:type="spellEnd"/>
            <w:r>
              <w:t>, 2008. – 397с.</w:t>
            </w:r>
          </w:p>
          <w:p w:rsidR="006A74D8" w:rsidRDefault="00C27DAF">
            <w:pPr>
              <w:spacing w:after="0" w:line="240" w:lineRule="auto"/>
            </w:pPr>
            <w:r>
              <w:t xml:space="preserve">2. </w:t>
            </w:r>
            <w:proofErr w:type="spellStart"/>
            <w:r>
              <w:t>Безпека</w:t>
            </w:r>
            <w:proofErr w:type="spellEnd"/>
            <w:r>
              <w:t xml:space="preserve"> </w:t>
            </w:r>
            <w:proofErr w:type="spellStart"/>
            <w:r>
              <w:t>життєдіяльності</w:t>
            </w:r>
            <w:proofErr w:type="spellEnd"/>
            <w:r>
              <w:t xml:space="preserve"> : </w:t>
            </w:r>
            <w:proofErr w:type="spellStart"/>
            <w:r>
              <w:t>Навч</w:t>
            </w:r>
            <w:proofErr w:type="spellEnd"/>
            <w:r>
              <w:t xml:space="preserve">. </w:t>
            </w:r>
            <w:proofErr w:type="spellStart"/>
            <w:r>
              <w:t>посіб</w:t>
            </w:r>
            <w:proofErr w:type="spellEnd"/>
            <w:r>
              <w:t xml:space="preserve">. / Є.П. </w:t>
            </w:r>
            <w:proofErr w:type="spellStart"/>
            <w:r>
              <w:t>Желібо</w:t>
            </w:r>
            <w:proofErr w:type="spellEnd"/>
            <w:r>
              <w:t xml:space="preserve">, Н.М. </w:t>
            </w:r>
            <w:proofErr w:type="spellStart"/>
            <w:r>
              <w:t>Заверуха</w:t>
            </w:r>
            <w:proofErr w:type="spellEnd"/>
            <w:r>
              <w:t xml:space="preserve">, В.В. </w:t>
            </w:r>
            <w:proofErr w:type="spellStart"/>
            <w:r>
              <w:t>Зацарний</w:t>
            </w:r>
            <w:proofErr w:type="spellEnd"/>
            <w:r>
              <w:t xml:space="preserve">; </w:t>
            </w:r>
            <w:proofErr w:type="spellStart"/>
            <w:r>
              <w:t>За</w:t>
            </w:r>
            <w:proofErr w:type="spellEnd"/>
            <w:r>
              <w:t xml:space="preserve">. </w:t>
            </w:r>
            <w:proofErr w:type="spellStart"/>
            <w:r>
              <w:t>ред</w:t>
            </w:r>
            <w:proofErr w:type="spellEnd"/>
            <w:r>
              <w:t xml:space="preserve">. Є.П. </w:t>
            </w:r>
            <w:proofErr w:type="spellStart"/>
            <w:r>
              <w:t>Желібо</w:t>
            </w:r>
            <w:proofErr w:type="spellEnd"/>
            <w:r>
              <w:t xml:space="preserve">. – К.: </w:t>
            </w:r>
            <w:proofErr w:type="spellStart"/>
            <w:r>
              <w:t>Каравелла</w:t>
            </w:r>
            <w:proofErr w:type="spellEnd"/>
            <w:r>
              <w:t>, 2011. – 344с.</w:t>
            </w:r>
          </w:p>
          <w:p w:rsidR="006A74D8" w:rsidRDefault="00C27DAF">
            <w:pPr>
              <w:spacing w:after="0" w:line="240" w:lineRule="auto"/>
            </w:pPr>
            <w:r>
              <w:t xml:space="preserve">3. </w:t>
            </w:r>
            <w:proofErr w:type="spellStart"/>
            <w:r>
              <w:t>Лапін</w:t>
            </w:r>
            <w:proofErr w:type="spellEnd"/>
            <w:r>
              <w:t xml:space="preserve"> В.М. </w:t>
            </w:r>
            <w:proofErr w:type="spellStart"/>
            <w:r>
              <w:t>Безпека</w:t>
            </w:r>
            <w:proofErr w:type="spellEnd"/>
            <w:r>
              <w:t xml:space="preserve"> </w:t>
            </w:r>
            <w:proofErr w:type="spellStart"/>
            <w:r>
              <w:t>життєдіяльності</w:t>
            </w:r>
            <w:proofErr w:type="spellEnd"/>
            <w:r>
              <w:t xml:space="preserve">: </w:t>
            </w:r>
            <w:proofErr w:type="spellStart"/>
            <w:r>
              <w:t>Навч.посіб</w:t>
            </w:r>
            <w:proofErr w:type="spellEnd"/>
            <w:r>
              <w:t xml:space="preserve">. – К.: </w:t>
            </w:r>
            <w:proofErr w:type="spellStart"/>
            <w:r>
              <w:t>Знання</w:t>
            </w:r>
            <w:proofErr w:type="spellEnd"/>
            <w:r>
              <w:t>, 2011. – 334с.</w:t>
            </w:r>
          </w:p>
          <w:p w:rsidR="006A74D8" w:rsidRDefault="00C27DAF">
            <w:pPr>
              <w:spacing w:after="0" w:line="240" w:lineRule="auto"/>
            </w:pPr>
            <w:r>
              <w:t xml:space="preserve">4. </w:t>
            </w:r>
            <w:proofErr w:type="spellStart"/>
            <w:r>
              <w:t>Бедрій</w:t>
            </w:r>
            <w:proofErr w:type="spellEnd"/>
            <w:r>
              <w:t xml:space="preserve"> Я.І.  </w:t>
            </w:r>
            <w:proofErr w:type="spellStart"/>
            <w:r>
              <w:t>Безпека</w:t>
            </w:r>
            <w:proofErr w:type="spellEnd"/>
            <w:r>
              <w:t xml:space="preserve"> </w:t>
            </w:r>
            <w:proofErr w:type="spellStart"/>
            <w:r>
              <w:t>життєдіяльності</w:t>
            </w:r>
            <w:proofErr w:type="spellEnd"/>
            <w:r>
              <w:t xml:space="preserve">: </w:t>
            </w:r>
            <w:proofErr w:type="spellStart"/>
            <w:r>
              <w:t>Навч.посіб</w:t>
            </w:r>
            <w:proofErr w:type="spellEnd"/>
            <w:r>
              <w:t xml:space="preserve">. - К.: </w:t>
            </w:r>
            <w:proofErr w:type="spellStart"/>
            <w:r>
              <w:t>Кондор</w:t>
            </w:r>
            <w:proofErr w:type="spellEnd"/>
            <w:r>
              <w:t>, 2009. – 286с.</w:t>
            </w:r>
          </w:p>
          <w:p w:rsidR="006A74D8" w:rsidRDefault="00C27DAF">
            <w:pPr>
              <w:spacing w:after="0" w:line="240" w:lineRule="auto"/>
            </w:pPr>
            <w:r>
              <w:t xml:space="preserve">5. </w:t>
            </w:r>
            <w:proofErr w:type="spellStart"/>
            <w:r>
              <w:t>Михайлюк</w:t>
            </w:r>
            <w:proofErr w:type="spellEnd"/>
            <w:r>
              <w:t xml:space="preserve"> В.О. </w:t>
            </w:r>
            <w:proofErr w:type="spellStart"/>
            <w:r>
              <w:t>Цивільний</w:t>
            </w:r>
            <w:proofErr w:type="spellEnd"/>
            <w:r>
              <w:t xml:space="preserve"> </w:t>
            </w:r>
            <w:proofErr w:type="spellStart"/>
            <w:r>
              <w:t>захист</w:t>
            </w:r>
            <w:proofErr w:type="spellEnd"/>
            <w:r>
              <w:t xml:space="preserve">: </w:t>
            </w:r>
            <w:proofErr w:type="spellStart"/>
            <w:r>
              <w:t>Навч.посібник</w:t>
            </w:r>
            <w:proofErr w:type="spellEnd"/>
            <w:r>
              <w:t xml:space="preserve">. </w:t>
            </w:r>
            <w:proofErr w:type="spellStart"/>
            <w:r>
              <w:t>Миколаїв</w:t>
            </w:r>
            <w:proofErr w:type="spellEnd"/>
            <w:r>
              <w:t xml:space="preserve">: НУК, 2005. – ч.1. </w:t>
            </w:r>
            <w:proofErr w:type="spellStart"/>
            <w:r>
              <w:t>Соціальна</w:t>
            </w:r>
            <w:proofErr w:type="spellEnd"/>
            <w:r>
              <w:t xml:space="preserve">, </w:t>
            </w:r>
            <w:proofErr w:type="spellStart"/>
            <w:r>
              <w:t>техногенна</w:t>
            </w:r>
            <w:proofErr w:type="spellEnd"/>
            <w:r>
              <w:t xml:space="preserve"> і </w:t>
            </w:r>
            <w:proofErr w:type="spellStart"/>
            <w:r>
              <w:t>природна</w:t>
            </w:r>
            <w:proofErr w:type="spellEnd"/>
            <w:r>
              <w:t xml:space="preserve"> </w:t>
            </w:r>
            <w:proofErr w:type="spellStart"/>
            <w:r>
              <w:t>безпека</w:t>
            </w:r>
            <w:proofErr w:type="spellEnd"/>
            <w:r>
              <w:t>. – 136 с.</w:t>
            </w:r>
          </w:p>
          <w:p w:rsidR="006A74D8" w:rsidRDefault="00C27DAF">
            <w:pPr>
              <w:spacing w:after="0" w:line="240" w:lineRule="auto"/>
            </w:pPr>
            <w:r>
              <w:t xml:space="preserve">6. </w:t>
            </w:r>
            <w:proofErr w:type="spellStart"/>
            <w:r>
              <w:t>Зеркалов</w:t>
            </w:r>
            <w:proofErr w:type="spellEnd"/>
            <w:r>
              <w:t xml:space="preserve"> Д.В.: </w:t>
            </w:r>
            <w:proofErr w:type="spellStart"/>
            <w:r>
              <w:t>Безпека</w:t>
            </w:r>
            <w:proofErr w:type="spellEnd"/>
            <w:r>
              <w:t xml:space="preserve"> </w:t>
            </w:r>
            <w:proofErr w:type="spellStart"/>
            <w:r>
              <w:t>Життєдіяльності</w:t>
            </w:r>
            <w:proofErr w:type="spellEnd"/>
            <w:r>
              <w:t xml:space="preserve">. </w:t>
            </w:r>
            <w:proofErr w:type="spellStart"/>
            <w:r>
              <w:t>Навчальний</w:t>
            </w:r>
            <w:proofErr w:type="spellEnd"/>
            <w:r>
              <w:t xml:space="preserve"> </w:t>
            </w:r>
            <w:proofErr w:type="spellStart"/>
            <w:r>
              <w:t>посібник</w:t>
            </w:r>
            <w:proofErr w:type="spellEnd"/>
            <w:r>
              <w:t>. (</w:t>
            </w:r>
            <w:proofErr w:type="spellStart"/>
            <w:r>
              <w:t>Електронне</w:t>
            </w:r>
            <w:proofErr w:type="spellEnd"/>
            <w:r>
              <w:t xml:space="preserve"> </w:t>
            </w:r>
            <w:proofErr w:type="spellStart"/>
            <w:r>
              <w:t>видання</w:t>
            </w:r>
            <w:proofErr w:type="spellEnd"/>
            <w:r>
              <w:t>),2011</w:t>
            </w:r>
          </w:p>
          <w:p w:rsidR="006A74D8" w:rsidRDefault="00C27DAF">
            <w:pPr>
              <w:spacing w:after="0" w:line="240" w:lineRule="auto"/>
            </w:pPr>
            <w:r>
              <w:t xml:space="preserve">7. </w:t>
            </w:r>
            <w:proofErr w:type="spellStart"/>
            <w:r>
              <w:t>Яремко</w:t>
            </w:r>
            <w:proofErr w:type="spellEnd"/>
            <w:r>
              <w:t xml:space="preserve"> З.М. </w:t>
            </w:r>
            <w:proofErr w:type="spellStart"/>
            <w:r>
              <w:t>Безпека</w:t>
            </w:r>
            <w:proofErr w:type="spellEnd"/>
            <w:r>
              <w:t xml:space="preserve"> </w:t>
            </w:r>
            <w:proofErr w:type="spellStart"/>
            <w:r>
              <w:t>життєдіяльності</w:t>
            </w:r>
            <w:proofErr w:type="spellEnd"/>
            <w:r>
              <w:t xml:space="preserve">: </w:t>
            </w:r>
            <w:proofErr w:type="spellStart"/>
            <w:r>
              <w:t>Навчальний</w:t>
            </w:r>
            <w:proofErr w:type="spellEnd"/>
            <w:r>
              <w:t xml:space="preserve"> </w:t>
            </w:r>
            <w:proofErr w:type="spellStart"/>
            <w:r>
              <w:t>посібник</w:t>
            </w:r>
            <w:proofErr w:type="spellEnd"/>
            <w:r>
              <w:t xml:space="preserve">. – </w:t>
            </w:r>
            <w:proofErr w:type="spellStart"/>
            <w:r>
              <w:t>Львів</w:t>
            </w:r>
            <w:proofErr w:type="spellEnd"/>
            <w:r>
              <w:t xml:space="preserve">: </w:t>
            </w:r>
            <w:proofErr w:type="spellStart"/>
            <w:r>
              <w:t>Видавничий</w:t>
            </w:r>
            <w:proofErr w:type="spellEnd"/>
            <w:r>
              <w:t xml:space="preserve"> </w:t>
            </w:r>
            <w:proofErr w:type="spellStart"/>
            <w:r>
              <w:t>центр</w:t>
            </w:r>
            <w:proofErr w:type="spellEnd"/>
            <w:r>
              <w:t xml:space="preserve"> ЛНУ </w:t>
            </w:r>
            <w:proofErr w:type="spellStart"/>
            <w:r>
              <w:t>імені</w:t>
            </w:r>
            <w:proofErr w:type="spellEnd"/>
            <w:r>
              <w:t xml:space="preserve"> </w:t>
            </w:r>
            <w:proofErr w:type="spellStart"/>
            <w:r>
              <w:t>Івана</w:t>
            </w:r>
            <w:proofErr w:type="spellEnd"/>
            <w:r>
              <w:t xml:space="preserve"> </w:t>
            </w:r>
            <w:proofErr w:type="spellStart"/>
            <w:r>
              <w:t>Франка</w:t>
            </w:r>
            <w:proofErr w:type="spellEnd"/>
            <w:r>
              <w:t>, 2005. – 301 с.</w:t>
            </w:r>
          </w:p>
          <w:p w:rsidR="006A74D8" w:rsidRDefault="00C27DAF">
            <w:pPr>
              <w:spacing w:after="0" w:line="240" w:lineRule="auto"/>
            </w:pPr>
            <w:r>
              <w:t xml:space="preserve">8.  </w:t>
            </w:r>
            <w:proofErr w:type="spellStart"/>
            <w:r>
              <w:t>Гайченко</w:t>
            </w:r>
            <w:proofErr w:type="spellEnd"/>
            <w:r>
              <w:t xml:space="preserve"> В.А., </w:t>
            </w:r>
            <w:proofErr w:type="spellStart"/>
            <w:r>
              <w:t>Коваль</w:t>
            </w:r>
            <w:proofErr w:type="spellEnd"/>
            <w:r>
              <w:t xml:space="preserve"> Г.М. </w:t>
            </w:r>
            <w:proofErr w:type="spellStart"/>
            <w:r>
              <w:t>Основи</w:t>
            </w:r>
            <w:proofErr w:type="spellEnd"/>
            <w:r>
              <w:t xml:space="preserve"> </w:t>
            </w:r>
            <w:proofErr w:type="spellStart"/>
            <w:r>
              <w:t>безпеки</w:t>
            </w:r>
            <w:proofErr w:type="spellEnd"/>
            <w:r>
              <w:t xml:space="preserve"> </w:t>
            </w:r>
            <w:proofErr w:type="spellStart"/>
            <w:r>
              <w:t>життєдіяльності</w:t>
            </w:r>
            <w:proofErr w:type="spellEnd"/>
            <w:r>
              <w:t>. – К.: МАУП, 2002. – 232 с.</w:t>
            </w:r>
          </w:p>
          <w:p w:rsidR="006A74D8" w:rsidRDefault="00C27DAF">
            <w:pPr>
              <w:spacing w:after="0" w:line="240" w:lineRule="auto"/>
            </w:pPr>
            <w:r>
              <w:t xml:space="preserve">9. </w:t>
            </w:r>
            <w:proofErr w:type="spellStart"/>
            <w:r>
              <w:t>Джигирей</w:t>
            </w:r>
            <w:proofErr w:type="spellEnd"/>
            <w:r>
              <w:t xml:space="preserve"> В.С., </w:t>
            </w:r>
            <w:proofErr w:type="spellStart"/>
            <w:r>
              <w:t>Жидецький</w:t>
            </w:r>
            <w:proofErr w:type="spellEnd"/>
            <w:r>
              <w:t xml:space="preserve"> В.Ц. </w:t>
            </w:r>
            <w:proofErr w:type="spellStart"/>
            <w:r>
              <w:t>Безпека</w:t>
            </w:r>
            <w:proofErr w:type="spellEnd"/>
            <w:r>
              <w:t xml:space="preserve"> </w:t>
            </w:r>
            <w:proofErr w:type="spellStart"/>
            <w:r>
              <w:t>життєдіяльності</w:t>
            </w:r>
            <w:proofErr w:type="spellEnd"/>
            <w:r>
              <w:t xml:space="preserve">. – </w:t>
            </w:r>
            <w:proofErr w:type="spellStart"/>
            <w:r>
              <w:t>Львів</w:t>
            </w:r>
            <w:proofErr w:type="spellEnd"/>
            <w:r>
              <w:t xml:space="preserve">: </w:t>
            </w:r>
            <w:proofErr w:type="spellStart"/>
            <w:r>
              <w:t>Афіша</w:t>
            </w:r>
            <w:proofErr w:type="spellEnd"/>
            <w:r>
              <w:t>, 2000. – 246 с.</w:t>
            </w:r>
          </w:p>
        </w:tc>
      </w:tr>
    </w:tbl>
    <w:p w:rsidR="006A74D8" w:rsidRDefault="006A74D8"/>
    <w:sectPr w:rsidR="006A74D8">
      <w:headerReference w:type="default" r:id="rId9"/>
      <w:footerReference w:type="default" r:id="rId10"/>
      <w:pgSz w:w="11906" w:h="16838"/>
      <w:pgMar w:top="765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D65" w:rsidRDefault="001F7D65">
      <w:pPr>
        <w:spacing w:after="0" w:line="240" w:lineRule="auto"/>
      </w:pPr>
      <w:r>
        <w:separator/>
      </w:r>
    </w:p>
  </w:endnote>
  <w:endnote w:type="continuationSeparator" w:id="0">
    <w:p w:rsidR="001F7D65" w:rsidRDefault="001F7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4D8" w:rsidRDefault="006A74D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D65" w:rsidRDefault="001F7D65">
      <w:pPr>
        <w:spacing w:after="0" w:line="240" w:lineRule="auto"/>
      </w:pPr>
      <w:r>
        <w:separator/>
      </w:r>
    </w:p>
  </w:footnote>
  <w:footnote w:type="continuationSeparator" w:id="0">
    <w:p w:rsidR="001F7D65" w:rsidRDefault="001F7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4D8" w:rsidRDefault="00C27DAF">
    <w:pPr>
      <w:pStyle w:val="lfej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ЗАТВЕРДЖЕНО</w:t>
    </w:r>
  </w:p>
  <w:p w:rsidR="006A74D8" w:rsidRDefault="00C27DAF">
    <w:pPr>
      <w:pStyle w:val="lfej"/>
      <w:jc w:val="right"/>
      <w:rPr>
        <w:rFonts w:ascii="Times New Roman" w:hAnsi="Times New Roman" w:cs="Times New Roman"/>
        <w:sz w:val="16"/>
        <w:szCs w:val="16"/>
      </w:rPr>
    </w:pPr>
    <w:proofErr w:type="spellStart"/>
    <w:r>
      <w:rPr>
        <w:rFonts w:ascii="Times New Roman" w:hAnsi="Times New Roman" w:cs="Times New Roman"/>
        <w:sz w:val="16"/>
        <w:szCs w:val="16"/>
      </w:rPr>
      <w:t>Вченою</w:t>
    </w:r>
    <w:proofErr w:type="spellEnd"/>
    <w:r>
      <w:rPr>
        <w:rFonts w:ascii="Times New Roman" w:hAnsi="Times New Roman" w:cs="Times New Roman"/>
        <w:sz w:val="16"/>
        <w:szCs w:val="16"/>
      </w:rPr>
      <w:t xml:space="preserve"> </w:t>
    </w:r>
    <w:proofErr w:type="spellStart"/>
    <w:r>
      <w:rPr>
        <w:rFonts w:ascii="Times New Roman" w:hAnsi="Times New Roman" w:cs="Times New Roman"/>
        <w:sz w:val="16"/>
        <w:szCs w:val="16"/>
      </w:rPr>
      <w:t>радою</w:t>
    </w:r>
    <w:proofErr w:type="spellEnd"/>
    <w:r>
      <w:rPr>
        <w:rFonts w:ascii="Times New Roman" w:hAnsi="Times New Roman" w:cs="Times New Roman"/>
        <w:sz w:val="16"/>
        <w:szCs w:val="16"/>
      </w:rPr>
      <w:t xml:space="preserve"> ЗУІ</w:t>
    </w:r>
  </w:p>
  <w:p w:rsidR="006A74D8" w:rsidRDefault="00C27DAF">
    <w:pPr>
      <w:pStyle w:val="lfej"/>
      <w:jc w:val="right"/>
      <w:rPr>
        <w:rFonts w:ascii="Times New Roman" w:hAnsi="Times New Roman" w:cs="Times New Roman"/>
        <w:sz w:val="16"/>
        <w:szCs w:val="16"/>
      </w:rPr>
    </w:pPr>
    <w:proofErr w:type="spellStart"/>
    <w:r>
      <w:rPr>
        <w:rFonts w:ascii="Times New Roman" w:hAnsi="Times New Roman" w:cs="Times New Roman"/>
        <w:sz w:val="16"/>
        <w:szCs w:val="16"/>
      </w:rPr>
      <w:t>Протокол</w:t>
    </w:r>
    <w:proofErr w:type="spellEnd"/>
    <w:r>
      <w:rPr>
        <w:rFonts w:ascii="Times New Roman" w:hAnsi="Times New Roman" w:cs="Times New Roman"/>
        <w:sz w:val="16"/>
        <w:szCs w:val="16"/>
      </w:rPr>
      <w:t xml:space="preserve"> № „9” </w:t>
    </w:r>
    <w:proofErr w:type="spellStart"/>
    <w:r>
      <w:rPr>
        <w:rFonts w:ascii="Times New Roman" w:hAnsi="Times New Roman" w:cs="Times New Roman"/>
        <w:sz w:val="16"/>
        <w:szCs w:val="16"/>
      </w:rPr>
      <w:t>від</w:t>
    </w:r>
    <w:proofErr w:type="spellEnd"/>
    <w:r>
      <w:rPr>
        <w:rFonts w:ascii="Times New Roman" w:hAnsi="Times New Roman" w:cs="Times New Roman"/>
        <w:sz w:val="16"/>
        <w:szCs w:val="16"/>
      </w:rPr>
      <w:t xml:space="preserve"> „23” </w:t>
    </w:r>
    <w:proofErr w:type="spellStart"/>
    <w:r>
      <w:rPr>
        <w:rFonts w:ascii="Times New Roman" w:hAnsi="Times New Roman" w:cs="Times New Roman"/>
        <w:sz w:val="16"/>
        <w:szCs w:val="16"/>
      </w:rPr>
      <w:t>грудня</w:t>
    </w:r>
    <w:proofErr w:type="spellEnd"/>
    <w:r>
      <w:rPr>
        <w:rFonts w:ascii="Times New Roman" w:hAnsi="Times New Roman" w:cs="Times New Roman"/>
        <w:sz w:val="16"/>
        <w:szCs w:val="16"/>
      </w:rPr>
      <w:t xml:space="preserve"> 2020  р.</w:t>
    </w:r>
  </w:p>
  <w:p w:rsidR="006A74D8" w:rsidRDefault="00C27DAF">
    <w:pPr>
      <w:pStyle w:val="lfej"/>
      <w:jc w:val="right"/>
      <w:rPr>
        <w:rFonts w:ascii="Times New Roman" w:hAnsi="Times New Roman" w:cs="Times New Roman"/>
        <w:color w:val="FF0000"/>
        <w:sz w:val="16"/>
        <w:szCs w:val="16"/>
        <w:lang w:val="uk-UA"/>
      </w:rPr>
    </w:pPr>
    <w:r>
      <w:rPr>
        <w:rFonts w:ascii="Times New Roman" w:hAnsi="Times New Roman" w:cs="Times New Roman"/>
        <w:sz w:val="16"/>
        <w:szCs w:val="16"/>
      </w:rPr>
      <w:t>Ф-ДК-РП1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4D8"/>
    <w:rsid w:val="001F7D65"/>
    <w:rsid w:val="00216189"/>
    <w:rsid w:val="00307007"/>
    <w:rsid w:val="003E039A"/>
    <w:rsid w:val="004A5243"/>
    <w:rsid w:val="0053348E"/>
    <w:rsid w:val="006A74D8"/>
    <w:rsid w:val="00AC0022"/>
    <w:rsid w:val="00C27DAF"/>
    <w:rsid w:val="00EA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82AA5"/>
    <w:pPr>
      <w:spacing w:after="160" w:line="259" w:lineRule="auto"/>
    </w:pPr>
    <w:rPr>
      <w:color w:val="00000A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uiPriority w:val="99"/>
    <w:qFormat/>
    <w:rsid w:val="0005502E"/>
  </w:style>
  <w:style w:type="character" w:customStyle="1" w:styleId="llbChar">
    <w:name w:val="Élőláb Char"/>
    <w:basedOn w:val="Bekezdsalapbettpusa"/>
    <w:uiPriority w:val="99"/>
    <w:qFormat/>
    <w:rsid w:val="0005502E"/>
  </w:style>
  <w:style w:type="character" w:customStyle="1" w:styleId="Internet-hivatkozs">
    <w:name w:val="Internet-hivatkozás"/>
    <w:rPr>
      <w:color w:val="000080"/>
      <w:u w:val="single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Lohit Devanagari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Lohit Devanagari"/>
    </w:rPr>
  </w:style>
  <w:style w:type="paragraph" w:styleId="lfej">
    <w:name w:val="header"/>
    <w:basedOn w:val="Norml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paragraph" w:styleId="Szvegtrzsbehzssal">
    <w:name w:val="Body Text Indent"/>
    <w:basedOn w:val="Norml"/>
    <w:pPr>
      <w:spacing w:after="120"/>
      <w:ind w:left="283"/>
    </w:pPr>
  </w:style>
  <w:style w:type="table" w:styleId="Rcsostblzat">
    <w:name w:val="Table Grid"/>
    <w:basedOn w:val="Normltblzat"/>
    <w:uiPriority w:val="39"/>
    <w:rsid w:val="00392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7DA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82AA5"/>
    <w:pPr>
      <w:spacing w:after="160" w:line="259" w:lineRule="auto"/>
    </w:pPr>
    <w:rPr>
      <w:color w:val="00000A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uiPriority w:val="99"/>
    <w:qFormat/>
    <w:rsid w:val="0005502E"/>
  </w:style>
  <w:style w:type="character" w:customStyle="1" w:styleId="llbChar">
    <w:name w:val="Élőláb Char"/>
    <w:basedOn w:val="Bekezdsalapbettpusa"/>
    <w:uiPriority w:val="99"/>
    <w:qFormat/>
    <w:rsid w:val="0005502E"/>
  </w:style>
  <w:style w:type="character" w:customStyle="1" w:styleId="Internet-hivatkozs">
    <w:name w:val="Internet-hivatkozás"/>
    <w:rPr>
      <w:color w:val="000080"/>
      <w:u w:val="single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Lohit Devanagari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Lohit Devanagari"/>
    </w:rPr>
  </w:style>
  <w:style w:type="paragraph" w:styleId="lfej">
    <w:name w:val="header"/>
    <w:basedOn w:val="Norml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paragraph" w:styleId="Szvegtrzsbehzssal">
    <w:name w:val="Body Text Indent"/>
    <w:basedOn w:val="Norml"/>
    <w:pPr>
      <w:spacing w:after="120"/>
      <w:ind w:left="283"/>
    </w:pPr>
  </w:style>
  <w:style w:type="table" w:styleId="Rcsostblzat">
    <w:name w:val="Table Grid"/>
    <w:basedOn w:val="Normltblzat"/>
    <w:uiPriority w:val="39"/>
    <w:rsid w:val="00392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7DA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elicki.istvan@kmf.org.u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DB02E-1744-47A8-BD27-635FF7E1D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816</Words>
  <Characters>5631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kjhjg</cp:lastModifiedBy>
  <cp:revision>2</cp:revision>
  <dcterms:created xsi:type="dcterms:W3CDTF">2022-11-03T13:29:00Z</dcterms:created>
  <dcterms:modified xsi:type="dcterms:W3CDTF">2022-11-03T13:29:00Z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