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9"/>
        <w:gridCol w:w="1368"/>
        <w:gridCol w:w="1672"/>
        <w:gridCol w:w="1368"/>
        <w:gridCol w:w="1824"/>
        <w:gridCol w:w="1520"/>
      </w:tblGrid>
      <w:tr>
        <w:trPr>
          <w:trHeight w:val="1453" w:hRule="atLeast"/>
        </w:trPr>
        <w:tc>
          <w:tcPr>
            <w:tcW w:w="1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BSc</w:t>
            </w:r>
          </w:p>
        </w:tc>
        <w:tc>
          <w:tcPr>
            <w:tcW w:w="1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Денна, заочна</w:t>
            </w:r>
          </w:p>
        </w:tc>
        <w:tc>
          <w:tcPr>
            <w:tcW w:w="18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hu-HU"/>
              </w:rPr>
              <w:t>IV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hu-HU"/>
              </w:rPr>
              <w:t>7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highlight w:val="yellow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Силабус</w:t>
      </w:r>
      <w:r>
        <w:rPr>
          <w:rFonts w:cs="Times New Roman" w:ascii="Times New Roman" w:hAnsi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6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8"/>
        <w:gridCol w:w="6541"/>
      </w:tblGrid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Мікологія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Біології і хімії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hu-HU"/>
              </w:rPr>
              <w:t>014 Середня освіта (Біологія та здоров'я людини)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hu-HU"/>
              </w:rPr>
              <w:t xml:space="preserve"> 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Тип дисципліни: обов'язкова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Лекції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 год.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Практичні (семінарські) заняття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20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год.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Самостійна робота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викладач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а/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і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Андрик Єва Йожефівна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кандидат біологічних наук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andrik.eva@kmf.org.ua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bookmarkStart w:id="2" w:name="_Hlk50125193"/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2"/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отаніка, зоологія,  молекулярна біологія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541" w:type="dxa"/>
            <w:tcBorders/>
            <w:shd w:fill="auto" w:val="clear"/>
            <w:vAlign w:val="center"/>
          </w:tcPr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28" w:before="0" w:after="0"/>
              <w:ind w:left="0" w:right="0" w:firstLine="57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caps w:val="false"/>
                <w:smallCaps w:val="false"/>
                <w:sz w:val="24"/>
                <w:szCs w:val="24"/>
                <w:u w:val="none"/>
                <w:lang w:val="uk-UA"/>
              </w:rPr>
              <w:t>Анотація дисципліни:</w:t>
            </w:r>
            <w:r>
              <w:rPr>
                <w:rFonts w:cs="Times New Roman" w:ascii="Times New Roman" w:hAnsi="Times New Roman"/>
                <w:b/>
                <w:caps w:val="false"/>
                <w:smallCaps w:val="false"/>
                <w:sz w:val="24"/>
                <w:szCs w:val="24"/>
                <w:u w:val="none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uk-UA"/>
              </w:rPr>
              <w:t>Мікологія</w:t>
            </w:r>
            <w:r>
              <w:rPr>
                <w:rFonts w:ascii="Times New Roman" w:hAnsi="Times New Roman"/>
                <w:b w:val="false"/>
                <w:caps w:val="false"/>
                <w:smallCaps w:val="false"/>
                <w:sz w:val="24"/>
                <w:szCs w:val="24"/>
                <w:u w:val="none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uk-UA" w:eastAsia="ru-RU"/>
              </w:rPr>
              <w:t xml:space="preserve">вивчається у 7 семестрі, у блоці дисциплін спеціалізації бакалавра за спеціальністю 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sz w:val="24"/>
                <w:szCs w:val="24"/>
                <w:u w:val="none"/>
                <w:lang w:val="uk-UA" w:eastAsia="hu-HU"/>
              </w:rPr>
              <w:t>галузь знань 0401 Природничі науки напрям підготовки 6.040102 Біологія*.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</w:tabs>
              <w:spacing w:before="0" w:after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  <w:lang w:val="uk-UA"/>
              </w:rPr>
              <w:t>Мета:</w:t>
            </w:r>
            <w:r>
              <w:rPr>
                <w:rFonts w:ascii="Times New Roman" w:hAnsi="Times New Roman"/>
                <w:sz w:val="24"/>
                <w:szCs w:val="24"/>
                <w:u w:val="none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000000"/>
                <w:sz w:val="24"/>
                <w:szCs w:val="24"/>
                <w:u w:val="none"/>
                <w:shd w:fill="FFFFFF" w:val="clear"/>
                <w:lang w:val="hu-HU" w:eastAsia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aps w:val="false"/>
                <w:smallCaps w:val="false"/>
                <w:color w:val="000000"/>
                <w:sz w:val="24"/>
                <w:szCs w:val="24"/>
                <w:u w:val="none"/>
                <w:shd w:fill="FFFFFF" w:val="clear"/>
                <w:lang w:val="uk-UA" w:eastAsia="ru-RU"/>
              </w:rPr>
              <w:t>Ознайомлення студентів з основами мікології, з основними мікологічними поняттями, будовою, розмноженням та способом життя представників грибоподібних організмів та справжніх грибів.</w:t>
            </w:r>
          </w:p>
          <w:p>
            <w:pPr>
              <w:pStyle w:val="Normal"/>
              <w:widowControl/>
              <w:tabs>
                <w:tab w:val="left" w:pos="284" w:leader="none"/>
                <w:tab w:val="left" w:pos="567" w:leader="none"/>
              </w:tabs>
              <w:bidi w:val="0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none"/>
                <w:lang w:val="uk-UA"/>
              </w:rPr>
              <w:t xml:space="preserve">Завдання: </w:t>
            </w:r>
            <w:r>
              <w:rPr>
                <w:rFonts w:eastAsia="Symbol" w:cs="Symbol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uk-UA"/>
              </w:rPr>
              <w:t xml:space="preserve"> </w:t>
            </w:r>
            <w:r>
              <w:rPr>
                <w:rFonts w:eastAsia="Symbol" w:cs="Symbol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hu-HU"/>
              </w:rPr>
              <w:t xml:space="preserve">формування знань про </w:t>
            </w:r>
            <w:r>
              <w:rPr>
                <w:rFonts w:eastAsia="Symbol" w:cs="Symbol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uk-UA"/>
              </w:rPr>
              <w:t>систематику грибоподібних організмів та грибів, їх будову, розвиток та екологію.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 результаті вивчення навчальної дисципліни студент повинен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знати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left" w:pos="450" w:leader="none"/>
              </w:tabs>
              <w:bidi w:val="0"/>
              <w:spacing w:lineRule="auto" w:line="240" w:before="0" w:after="0"/>
              <w:ind w:left="720" w:right="0" w:hanging="36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Symbol" w:cs="Symbol" w:ascii="Times New Roman" w:hAnsi="Times New Roman"/>
                <w:bCs/>
                <w:sz w:val="24"/>
                <w:szCs w:val="24"/>
                <w:lang w:val="uk-UA"/>
              </w:rPr>
              <w:t xml:space="preserve">місце грибоподібних організмів та  грибів у системі живого та принципи їх класифікації </w:t>
            </w:r>
            <w:r>
              <w:rPr>
                <w:rFonts w:eastAsia="Symbol" w:cs="Symbol" w:ascii="Times New Roman" w:hAnsi="Times New Roman"/>
                <w:bCs/>
                <w:sz w:val="24"/>
                <w:szCs w:val="24"/>
                <w:lang w:val="en-US"/>
              </w:rPr>
              <w:t>;</w:t>
            </w:r>
            <w:r>
              <w:rPr>
                <w:rFonts w:eastAsia="Symbol" w:cs="Symbol" w:ascii="Times New Roman" w:hAnsi="Times New Roman"/>
                <w:bCs/>
                <w:sz w:val="24"/>
                <w:szCs w:val="24"/>
                <w:lang w:val="hu-HU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bCs/>
                <w:iCs/>
                <w:sz w:val="24"/>
                <w:lang w:val="uk-UA"/>
              </w:rPr>
              <w:t xml:space="preserve">особливості будови </w:t>
            </w:r>
            <w:r>
              <w:rPr>
                <w:rFonts w:eastAsia="Symbol" w:cs="Symbol" w:ascii="Times New Roman" w:hAnsi="Times New Roman"/>
                <w:bCs/>
                <w:iCs/>
                <w:sz w:val="24"/>
                <w:szCs w:val="24"/>
                <w:lang w:val="uk-UA"/>
              </w:rPr>
              <w:t>грибоподібних організмів  та</w:t>
            </w:r>
            <w:r>
              <w:rPr>
                <w:rFonts w:eastAsia="Symbol" w:cs="Symbol" w:ascii="Times New Roman" w:hAnsi="Times New Roman"/>
                <w:bCs/>
                <w:iCs/>
                <w:sz w:val="24"/>
                <w:lang w:val="uk-UA"/>
              </w:rPr>
              <w:t xml:space="preserve">грибів </w:t>
            </w:r>
            <w:r>
              <w:rPr>
                <w:rFonts w:eastAsia="Symbol" w:cs="Symbol" w:ascii="Times New Roman" w:hAnsi="Times New Roman"/>
                <w:bCs/>
                <w:iCs/>
                <w:sz w:val="24"/>
                <w:lang w:val="en-US"/>
              </w:rPr>
              <w:t>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720" w:right="0" w:hanging="363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bCs/>
                <w:iCs/>
                <w:sz w:val="24"/>
                <w:lang w:val="uk-UA"/>
              </w:rPr>
              <w:t xml:space="preserve">загальні морфологічні та фізіологічні властивості грибних організмів </w:t>
            </w:r>
            <w:r>
              <w:rPr>
                <w:rFonts w:eastAsia="Symbol" w:cs="Symbol" w:ascii="Times New Roman" w:hAnsi="Times New Roman"/>
                <w:color w:val="000000"/>
                <w:sz w:val="24"/>
                <w:lang w:val="en-US"/>
              </w:rPr>
              <w:t>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720" w:right="0" w:hanging="363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bCs/>
                <w:iCs/>
                <w:sz w:val="24"/>
                <w:lang w:val="uk-UA"/>
              </w:rPr>
              <w:t>типи та способи розмноження грибів, цикли їх розвитку в цілому та по групам 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720" w:right="0" w:hanging="363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bCs/>
                <w:iCs/>
                <w:sz w:val="24"/>
                <w:lang w:val="uk-UA"/>
              </w:rPr>
              <w:t>характеристики основних таксономічних груп та їх представників 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Symbol" w:cs="Symbol" w:ascii="Times New Roman" w:hAnsi="Times New Roman"/>
                <w:sz w:val="24"/>
                <w:lang w:val="uk-UA"/>
              </w:rPr>
              <w:t xml:space="preserve">різноманіття способів життя грибів та грибних організмів, </w:t>
            </w:r>
            <w:r>
              <w:rPr>
                <w:rFonts w:eastAsia="Symbol" w:cs="Symbol" w:ascii="Times New Roman" w:hAnsi="Times New Roman"/>
                <w:iCs/>
                <w:sz w:val="24"/>
                <w:lang w:val="uk-UA"/>
              </w:rPr>
              <w:t>їх зв’язки з іншими видами та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роль у біосфері.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вміти: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720" w:right="0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ymbol" w:cs="Symbol" w:ascii="Times New Roman" w:hAnsi="Times New Roman"/>
                <w:sz w:val="24"/>
                <w:szCs w:val="24"/>
                <w:lang w:val="uk-UA"/>
              </w:rPr>
              <w:t>характеризувати представників різних таксономічних та екологічних груп грибів 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720" w:right="0" w:hanging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lang w:val="uk-UA"/>
              </w:rPr>
              <w:t>встановлювати основні характерні особливості будови окремих таксонів</w:t>
            </w: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284" w:leader="none"/>
                <w:tab w:val="left" w:pos="567" w:leader="none"/>
              </w:tabs>
              <w:spacing w:lineRule="auto" w:line="240" w:before="0" w:after="0"/>
              <w:ind w:left="720" w:right="0" w:hanging="36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Symbol" w:cs="Symbol" w:ascii="Times New Roman" w:hAnsi="Times New Roman"/>
                <w:color w:val="000000"/>
                <w:sz w:val="24"/>
                <w:szCs w:val="24"/>
                <w:lang w:val="uk-UA"/>
              </w:rPr>
              <w:t>визначати види грибів на рівні класу чи порядку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bookmarkStart w:id="3" w:name="_Hlk50123234"/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3"/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Web"/>
              <w:spacing w:lineRule="auto" w:line="30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знань студентів здійснюється за результатами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практичних завдань, тестових контрольних робіт та підготовки творчого завдання.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цьому завдання поточного контролю оцінюються в діапазоні від 0 до 100 балів включно.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тудент,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успішно виконав усі завдання, передбачені навчальною програмою дисципліни, і набрав при цьому не менше 60 балів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допускається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Формою підсумкового контролю з предмету є </w:t>
            </w:r>
            <w:bookmarkStart w:id="4" w:name="__DdeLink__11422_2296716981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  <w:bookmarkEnd w:id="4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Семестрова оцінка враховується, як критерій допуску до екзамену, і зараховується на екзамені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.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bookmarkStart w:id="5" w:name="_Hlk50123319"/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5"/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Лекції, пояснення з використанням мультимедійних презентацій, практичні і семінарські заняття.</w:t>
            </w:r>
          </w:p>
        </w:tc>
      </w:tr>
      <w:tr>
        <w:trPr/>
        <w:tc>
          <w:tcPr>
            <w:tcW w:w="314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ind w:left="0" w:hanging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541" w:type="dxa"/>
            <w:tcBorders/>
            <w:shd w:fill="auto" w:val="clear"/>
          </w:tcPr>
          <w:p>
            <w:pPr>
              <w:pStyle w:val="Normal"/>
              <w:widowControl/>
              <w:numPr>
                <w:ilvl w:val="0"/>
                <w:numId w:val="3"/>
              </w:numPr>
              <w:bidi w:val="0"/>
              <w:spacing w:lineRule="auto" w:line="259" w:before="0" w:after="0"/>
              <w:jc w:val="both"/>
              <w:rPr>
                <w:rFonts w:ascii="Times New Roman" w:hAnsi="Times New Roman" w:eastAsia="Symbol"/>
                <w:color w:val="000000"/>
                <w:sz w:val="24"/>
                <w:lang w:val="hu-HU"/>
              </w:rPr>
            </w:pPr>
            <w:r>
              <w:rPr>
                <w:rFonts w:eastAsia="Symbol" w:ascii="Times New Roman" w:hAnsi="Times New Roman"/>
                <w:color w:val="000000"/>
                <w:sz w:val="24"/>
                <w:lang w:val="hu-HU"/>
              </w:rPr>
              <w:t xml:space="preserve">1) Jakucs E. és Vajna L. (szerk.) (2003): Mikológia. Agroinform Kiadó és Nyomda Kft., Budapest. </w:t>
            </w:r>
          </w:p>
          <w:p>
            <w:pPr>
              <w:pStyle w:val="Style18"/>
              <w:widowControl/>
              <w:numPr>
                <w:ilvl w:val="0"/>
                <w:numId w:val="3"/>
              </w:numPr>
              <w:bidi w:val="0"/>
              <w:spacing w:lineRule="auto" w:line="276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Symbol" w:ascii="Times New Roman" w:hAnsi="Times New Roman"/>
                <w:color w:val="000000"/>
                <w:sz w:val="24"/>
                <w:lang w:val="hu-HU"/>
              </w:rPr>
              <w:t>2) Jakucs E. A mikológia alapjai. – Budapest: ELTE Ötvös Kiadó. – 2</w:t>
            </w:r>
            <w:r>
              <w:rPr>
                <w:rFonts w:eastAsia="Symbol" w:ascii="Times New Roman" w:hAnsi="Times New Roman"/>
                <w:color w:val="000000"/>
                <w:sz w:val="24"/>
                <w:lang w:val="en-US"/>
              </w:rPr>
              <w:t>009. – 226 old.</w:t>
            </w:r>
          </w:p>
          <w:p>
            <w:pPr>
              <w:pStyle w:val="Style18"/>
              <w:widowControl/>
              <w:numPr>
                <w:ilvl w:val="0"/>
                <w:numId w:val="3"/>
              </w:numPr>
              <w:bidi w:val="0"/>
              <w:spacing w:lineRule="auto" w:line="276" w:before="0" w:after="0"/>
              <w:jc w:val="both"/>
              <w:rPr>
                <w:rFonts w:ascii="Times New Roman" w:hAnsi="Times New Roman" w:eastAsia="Symbol"/>
                <w:color w:val="000000"/>
                <w:sz w:val="24"/>
                <w:lang w:val="hu-HU"/>
              </w:rPr>
            </w:pPr>
            <w:r>
              <w:rPr>
                <w:rFonts w:eastAsia="Symbol" w:ascii="Times New Roman" w:hAnsi="Times New Roman"/>
                <w:color w:val="000000"/>
                <w:sz w:val="24"/>
                <w:lang w:val="hu-HU"/>
              </w:rPr>
              <w:t>3) Екологія грибів: моногр. / Г.Л. Антоняк, З.І. Калинець-Мамчур, І.О. Дудка, Н.О. Бабич, Н.Є. Панас. – Львів: ЛНУ ім. Івана Франка, 2013. – 628 с. – (Сер. “Біологічні Студії”).</w:t>
            </w:r>
          </w:p>
          <w:p>
            <w:pPr>
              <w:pStyle w:val="Style18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 Калинець-Мамчур З. Словник-довідник з альґології та мікології: [для студ. вищ. навч. закл.]. – Львів: Львівський національний університет імені Івана Франка, 2011. – 399 с.</w:t>
            </w:r>
          </w:p>
          <w:p>
            <w:pPr>
              <w:pStyle w:val="Style18"/>
              <w:numPr>
                <w:ilvl w:val="0"/>
                <w:numId w:val="3"/>
              </w:numPr>
              <w:shd w:val="clear" w:fill="FFFFFF"/>
              <w:tabs>
                <w:tab w:val="left" w:pos="8280" w:leader="none"/>
              </w:tabs>
              <w:spacing w:before="0" w:after="0"/>
              <w:rPr>
                <w:color w:val="000000"/>
                <w:sz w:val="24"/>
              </w:rPr>
            </w:pPr>
            <w:r>
              <w:rPr>
                <w:rStyle w:val="Style12"/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hu-HU" w:eastAsia="uk-UA"/>
              </w:rPr>
              <w:t>5) Леонтьєв Д.В., Акулов О.Ю. Загальна мікологія: Підручник для вищих навчальних закладів. – Х.: Видавнича група «Основа», 2007. – 228 с.</w:t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tabs>
                <w:tab w:val="left" w:pos="365" w:leader="none"/>
              </w:tabs>
              <w:spacing w:lineRule="auto" w:line="240" w:before="0" w:after="0"/>
              <w:rPr/>
            </w:pPr>
            <w:r>
              <w:rPr>
                <w:rFonts w:eastAsia="Symbol" w:ascii="Times New Roman" w:hAnsi="Times New Roman"/>
                <w:color w:val="000000"/>
                <w:sz w:val="24"/>
                <w:lang w:val="en-US"/>
              </w:rPr>
              <w:t>The Fifth Kingdom:</w:t>
            </w:r>
            <w:r>
              <w:rPr>
                <w:rStyle w:val="Appleconvertedspace"/>
                <w:rFonts w:eastAsia="Symbol"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" w:tgtFrame="_blank">
              <w:r>
                <w:rPr>
                  <w:rStyle w:val="Style12"/>
                  <w:rFonts w:eastAsia="Symbol" w:ascii="Times New Roman" w:hAnsi="Times New Roman"/>
                  <w:color w:val="000000"/>
                  <w:sz w:val="24"/>
                  <w:lang w:val="en-US"/>
                </w:rPr>
                <w:t>www.mycolog.com/fifthoc.html</w:t>
              </w:r>
            </w:hyperlink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tabs>
                <w:tab w:val="left" w:pos="365" w:leader="none"/>
              </w:tabs>
              <w:spacing w:lineRule="auto" w:line="240" w:before="0" w:after="0"/>
              <w:rPr/>
            </w:pPr>
            <w:r>
              <w:rPr>
                <w:rFonts w:eastAsia="Symbol" w:ascii="Times New Roman" w:hAnsi="Times New Roman"/>
                <w:color w:val="000000"/>
                <w:sz w:val="24"/>
                <w:lang w:val="en-US"/>
              </w:rPr>
              <w:t>On-line mikológia tankönyv:</w:t>
            </w:r>
            <w:r>
              <w:rPr>
                <w:rStyle w:val="Appleconvertedspace"/>
                <w:rFonts w:eastAsia="Symbol"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" w:tgtFrame="_blank">
              <w:r>
                <w:rPr>
                  <w:rStyle w:val="Style12"/>
                  <w:rFonts w:eastAsia="Symbol" w:ascii="Times New Roman" w:hAnsi="Times New Roman"/>
                  <w:color w:val="000000"/>
                  <w:sz w:val="24"/>
                  <w:lang w:val="en-US"/>
                </w:rPr>
                <w:t>www.hert.ac.uk/natsci/Env/Fungi/</w:t>
              </w:r>
            </w:hyperlink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left" w:pos="365" w:leader="none"/>
              </w:tabs>
              <w:bidi w:val="0"/>
              <w:spacing w:lineRule="auto" w:line="240" w:before="0" w:after="0"/>
              <w:ind w:left="720" w:hanging="0"/>
              <w:jc w:val="left"/>
              <w:rPr/>
            </w:pPr>
            <w:r>
              <w:rPr>
                <w:rStyle w:val="Style12"/>
                <w:rFonts w:eastAsia="Symbol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uk-UA" w:eastAsia="uk-UA"/>
              </w:rPr>
              <w:t>Bevezetés a gombák világába (Introduction to the Fungi) :</w:t>
            </w:r>
            <w:hyperlink r:id="rId4">
              <w:r>
                <w:rPr>
                  <w:rStyle w:val="Style12"/>
                  <w:rFonts w:eastAsia="Symbol" w:ascii="Times New Roman" w:hAnsi="Times New Roman"/>
                  <w:b w:val="false"/>
                  <w:bCs w:val="false"/>
                  <w:color w:val="000000"/>
                  <w:sz w:val="24"/>
                  <w:szCs w:val="24"/>
                  <w:lang w:val="uk-UA" w:eastAsia="uk-UA"/>
                </w:rPr>
                <w:t>www.ucmp.berkeley.edu/fungi/fungi.html</w:t>
              </w:r>
            </w:hyperlink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left" w:pos="365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en-US" w:eastAsia="uk-UA"/>
              </w:rPr>
              <w:t xml:space="preserve">8. </w:t>
            </w:r>
            <w:r>
              <w:rPr>
                <w:rStyle w:val="Style12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>David Moore, Geoffrey D. Robson and Anthony P. J. Trinci</w:t>
            </w:r>
            <w:r>
              <w:rPr>
                <w:rStyle w:val="Style12"/>
                <w:rFonts w:eastAsia="Symbol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 xml:space="preserve"> </w:t>
            </w:r>
            <w:r>
              <w:rPr>
                <w:rStyle w:val="Style15"/>
                <w:rFonts w:eastAsia="Symbol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>21st Century Guidebook to Fungi</w:t>
            </w:r>
            <w:r>
              <w:rPr>
                <w:rStyle w:val="Style12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 xml:space="preserve">, </w:t>
            </w:r>
            <w:r>
              <w:rPr>
                <w:rStyle w:val="Style15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>UPDATED</w:t>
            </w:r>
            <w:r>
              <w:rPr>
                <w:rStyle w:val="Style12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uk-UA" w:eastAsia="uk-UA"/>
              </w:rPr>
              <w:t xml:space="preserve"> SECOND EDITION </w:t>
            </w:r>
            <w:r>
              <w:rPr>
                <w:rStyle w:val="Style12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none"/>
                <w:lang w:val="en-US" w:eastAsia="uk-UA"/>
              </w:rPr>
              <w:t xml:space="preserve">/ Mode of access: </w:t>
            </w:r>
            <w:r>
              <w:rPr>
                <w:rStyle w:val="Style12"/>
                <w:rFonts w:eastAsia="Symbol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5"/>
                <w:sz w:val="22"/>
                <w:szCs w:val="22"/>
                <w:u w:val="single"/>
                <w:lang w:val="en-US" w:eastAsia="uk-UA"/>
              </w:rPr>
              <w:t>http://www.davidmoore.org.uk/21st_century_guidebook_to_fungi_platinum/index.htm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p>
      <w:pPr>
        <w:pStyle w:val="ListParagraph"/>
        <w:spacing w:lineRule="auto" w:line="240" w:before="0" w:after="0"/>
        <w:ind w:left="360" w:right="0" w:hanging="0"/>
        <w:jc w:val="center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765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Times New Roman PSMT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ЗАТВЕРДЖЕНО</w:t>
    </w:r>
  </w:p>
  <w:p>
    <w:pPr>
      <w:pStyle w:val="Style22"/>
      <w:jc w:val="right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>Вченою радою ЗУІ</w:t>
    </w:r>
  </w:p>
  <w:p>
    <w:pPr>
      <w:pStyle w:val="Style22"/>
      <w:jc w:val="right"/>
      <w:rPr/>
    </w:pPr>
    <w:r>
      <w:rPr>
        <w:rFonts w:cs="Times New Roman" w:ascii="Times New Roman" w:hAnsi="Times New Roman"/>
        <w:bCs/>
        <w:sz w:val="16"/>
        <w:szCs w:val="16"/>
      </w:rPr>
      <w:t>Протокол № „</w:t>
    </w:r>
    <w:r>
      <w:rPr>
        <w:rFonts w:cs="Times New Roman" w:ascii="Times New Roman" w:hAnsi="Times New Roman"/>
        <w:bCs/>
        <w:sz w:val="16"/>
        <w:szCs w:val="16"/>
        <w:lang w:val="hu-HU"/>
      </w:rPr>
      <w:t>1</w:t>
    </w:r>
    <w:r>
      <w:rPr>
        <w:rFonts w:cs="Times New Roman" w:ascii="Times New Roman" w:hAnsi="Times New Roman"/>
        <w:bCs/>
        <w:sz w:val="16"/>
        <w:szCs w:val="16"/>
      </w:rPr>
      <w:t xml:space="preserve">” від </w:t>
    </w:r>
    <w:r>
      <w:rPr>
        <w:rFonts w:cs="Times New Roman" w:ascii="Times New Roman" w:hAnsi="Times New Roman"/>
        <w:sz w:val="16"/>
        <w:szCs w:val="16"/>
      </w:rPr>
      <w:t>„</w:t>
    </w:r>
    <w:r>
      <w:rPr>
        <w:rFonts w:cs="Times New Roman" w:ascii="Times New Roman" w:hAnsi="Times New Roman"/>
        <w:sz w:val="16"/>
        <w:szCs w:val="16"/>
        <w:lang w:val="hu-HU"/>
      </w:rPr>
      <w:t>2</w:t>
    </w:r>
    <w:r>
      <w:rPr>
        <w:rFonts w:cs="Times New Roman" w:ascii="Times New Roman" w:hAnsi="Times New Roman"/>
        <w:sz w:val="16"/>
        <w:szCs w:val="16"/>
        <w:lang w:val="hu-HU"/>
      </w:rPr>
      <w:t>9</w:t>
    </w:r>
    <w:r>
      <w:rPr>
        <w:rFonts w:cs="Times New Roman" w:ascii="Times New Roman" w:hAnsi="Times New Roman"/>
        <w:sz w:val="16"/>
        <w:szCs w:val="16"/>
      </w:rPr>
      <w:t xml:space="preserve">” серпня </w:t>
    </w:r>
    <w:r>
      <w:rPr>
        <w:rFonts w:cs="Times New Roman" w:ascii="Times New Roman" w:hAnsi="Times New Roman"/>
        <w:sz w:val="16"/>
        <w:szCs w:val="16"/>
        <w:lang w:val="hu-HU"/>
      </w:rPr>
      <w:t>20</w:t>
    </w:r>
    <w:r>
      <w:rPr>
        <w:rFonts w:cs="Times New Roman" w:ascii="Times New Roman" w:hAnsi="Times New Roman"/>
        <w:sz w:val="16"/>
        <w:szCs w:val="16"/>
        <w:lang w:val="hu-HU"/>
      </w:rPr>
      <w:t>22</w:t>
    </w:r>
    <w:r>
      <w:rPr>
        <w:rFonts w:cs="Times New Roman" w:ascii="Times New Roman" w:hAnsi="Times New Roman"/>
        <w:sz w:val="16"/>
        <w:szCs w:val="16"/>
      </w:rPr>
      <w:t xml:space="preserve"> р.</w:t>
    </w:r>
  </w:p>
  <w:p>
    <w:pPr>
      <w:pStyle w:val="Style22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cs="Times New Roman" w:ascii="Times New Roman" w:hAnsi="Times New Roman"/>
        <w:sz w:val="16"/>
        <w:szCs w:val="16"/>
      </w:rPr>
      <w:t>Ф-ДК-РП1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2aa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05502e"/>
    <w:rPr/>
  </w:style>
  <w:style w:type="character" w:styleId="LlbChar" w:customStyle="1">
    <w:name w:val="Élőláb Char"/>
    <w:basedOn w:val="DefaultParagraphFont"/>
    <w:link w:val="llb"/>
    <w:uiPriority w:val="99"/>
    <w:qFormat/>
    <w:rsid w:val="0005502e"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E24kjd">
    <w:name w:val="e24kjd"/>
    <w:qFormat/>
    <w:rPr/>
  </w:style>
  <w:style w:type="character" w:styleId="ListLabel1">
    <w:name w:val="ListLabel 1"/>
    <w:qFormat/>
    <w:rPr>
      <w:rFonts w:ascii="Times New Roman" w:hAnsi="Times New Roman" w:cs="OpenSymbol;Arial Unicode MS"/>
      <w:sz w:val="24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WW8Num2z0">
    <w:name w:val="WW8Num2z0"/>
    <w:qFormat/>
    <w:rPr>
      <w:rFonts w:ascii="Times New Roman;Times New Roman PSMT" w:hAnsi="Times New Roman;Times New Roman PSMT" w:cs="Times New Roman;Times New Roman PSMT"/>
      <w:caps w:val="false"/>
      <w:smallCaps w:val="false"/>
      <w:sz w:val="28"/>
      <w:szCs w:val="28"/>
      <w:lang w:val="uk-UA" w:eastAsia="ru-RU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1">
    <w:name w:val="Выделение жирным"/>
    <w:qFormat/>
    <w:rPr>
      <w:b/>
      <w:bCs/>
    </w:rPr>
  </w:style>
  <w:style w:type="character" w:styleId="Style12">
    <w:name w:val="Интернет-ссылка"/>
    <w:rPr>
      <w:color w:val="0000FF"/>
      <w:u w:val="single"/>
    </w:rPr>
  </w:style>
  <w:style w:type="character" w:styleId="ListLabel10">
    <w:name w:val="ListLabel 10"/>
    <w:qFormat/>
    <w:rPr>
      <w:rFonts w:ascii="Times New Roman" w:hAnsi="Times New Roman" w:cs="OpenSymbol;Arial Unicode MS"/>
      <w:sz w:val="24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ascii="Times New Roman" w:hAnsi="Times New Roman" w:cs="Times New Roman;Times New Roman PSMT"/>
      <w:caps w:val="false"/>
      <w:smallCaps w:val="false"/>
      <w:sz w:val="24"/>
      <w:szCs w:val="28"/>
      <w:lang w:val="uk-UA" w:eastAsia="ru-RU"/>
    </w:rPr>
  </w:style>
  <w:style w:type="character" w:styleId="ListLabel20">
    <w:name w:val="ListLabel 20"/>
    <w:qFormat/>
    <w:rPr>
      <w:rFonts w:cs="Times New Roman"/>
      <w:b w:val="false"/>
      <w:bCs w:val="false"/>
      <w:i/>
      <w:iCs/>
      <w:spacing w:val="-6"/>
      <w:sz w:val="22"/>
      <w:szCs w:val="22"/>
      <w:lang w:val="uk-UA"/>
    </w:rPr>
  </w:style>
  <w:style w:type="character" w:styleId="ListLabel21">
    <w:name w:val="ListLabel 21"/>
    <w:qFormat/>
    <w:rPr>
      <w:rFonts w:ascii="Times New Roman" w:hAnsi="Times New Roman"/>
      <w:b w:val="false"/>
      <w:bCs w:val="false"/>
      <w:sz w:val="22"/>
      <w:szCs w:val="22"/>
      <w:lang w:val="hu-HU"/>
    </w:rPr>
  </w:style>
  <w:style w:type="character" w:styleId="Style13">
    <w:name w:val="Посещённая гиперссылка"/>
    <w:rPr>
      <w:color w:val="800080"/>
      <w:u w:val="single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WW8Num4z0">
    <w:name w:val="WW8Num4z0"/>
    <w:qFormat/>
    <w:rPr>
      <w:rFonts w:ascii="Times New Roman" w:hAnsi="Times New Roman" w:eastAsia="Symbol" w:cs="Times New Roman"/>
      <w:b w:val="false"/>
      <w:i w:val="false"/>
      <w:caps w:val="false"/>
      <w:smallCaps w:val="false"/>
      <w:spacing w:val="0"/>
      <w:sz w:val="22"/>
      <w:szCs w:val="22"/>
      <w:lang w:val="hu-H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0">
    <w:name w:val="WW8Num1z0"/>
    <w:qFormat/>
    <w:rPr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5">
    <w:name w:val="Выделение"/>
    <w:qFormat/>
    <w:rPr>
      <w:i/>
      <w:iCs/>
    </w:rPr>
  </w:style>
  <w:style w:type="character" w:styleId="Style16">
    <w:name w:val="Символ нумерации"/>
    <w:qFormat/>
    <w:rPr/>
  </w:style>
  <w:style w:type="character" w:styleId="ListLabel22">
    <w:name w:val="ListLabel 22"/>
    <w:qFormat/>
    <w:rPr>
      <w:rFonts w:ascii="Times New Roman" w:hAnsi="Times New Roman" w:cs="OpenSymbol"/>
      <w:sz w:val="24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ascii="Times New Roman" w:hAnsi="Times New Roman"/>
      <w:sz w:val="24"/>
      <w:szCs w:val="24"/>
      <w:u w:val="none"/>
      <w:lang w:val="hu-HU"/>
    </w:rPr>
  </w:style>
  <w:style w:type="character" w:styleId="ListLabel32">
    <w:name w:val="ListLabel 32"/>
    <w:qFormat/>
    <w:rPr>
      <w:rFonts w:ascii="Times New Roman" w:hAnsi="Times New Roman"/>
      <w:b w:val="false"/>
      <w:bCs w:val="false"/>
      <w:color w:val="000000"/>
      <w:sz w:val="24"/>
      <w:szCs w:val="24"/>
      <w:lang w:val="hu-HU" w:eastAsia="uk-UA"/>
    </w:rPr>
  </w:style>
  <w:style w:type="character" w:styleId="ListLabel33">
    <w:name w:val="ListLabel 33"/>
    <w:qFormat/>
    <w:rPr>
      <w:rFonts w:ascii="Times New Roman" w:hAnsi="Times New Roman"/>
      <w:b w:val="false"/>
      <w:bCs w:val="false"/>
      <w:color w:val="000000"/>
      <w:sz w:val="24"/>
      <w:szCs w:val="24"/>
      <w:lang w:val="hu-HU"/>
    </w:rPr>
  </w:style>
  <w:style w:type="character" w:styleId="ListLabel34">
    <w:name w:val="ListLabel 34"/>
    <w:qFormat/>
    <w:rPr>
      <w:rFonts w:ascii="Times New Roman" w:hAnsi="Times New Roman" w:cs="OpenSymbol"/>
      <w:sz w:val="24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ascii="Times New Roman" w:hAnsi="Times New Roman" w:cs="OpenSymbol"/>
      <w:sz w:val="22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ascii="Times New Roman" w:hAnsi="Times New Roman"/>
      <w:sz w:val="24"/>
      <w:szCs w:val="24"/>
      <w:u w:val="none"/>
      <w:lang w:val="hu-HU"/>
    </w:rPr>
  </w:style>
  <w:style w:type="character" w:styleId="ListLabel53">
    <w:name w:val="ListLabel 53"/>
    <w:qFormat/>
    <w:rPr>
      <w:rFonts w:ascii="Times New Roman" w:hAnsi="Times New Roman"/>
      <w:b w:val="false"/>
      <w:bCs w:val="false"/>
      <w:color w:val="000000"/>
      <w:sz w:val="24"/>
      <w:szCs w:val="24"/>
      <w:lang w:val="hu-HU" w:eastAsia="uk-UA"/>
    </w:rPr>
  </w:style>
  <w:style w:type="character" w:styleId="ListLabel54">
    <w:name w:val="ListLabel 54"/>
    <w:qFormat/>
    <w:rPr>
      <w:rFonts w:ascii="Times New Roman" w:hAnsi="Times New Roman"/>
      <w:b w:val="false"/>
      <w:bCs w:val="false"/>
      <w:color w:val="000000"/>
      <w:sz w:val="24"/>
      <w:szCs w:val="24"/>
      <w:lang w:val="hu-HU"/>
    </w:rPr>
  </w:style>
  <w:style w:type="character" w:styleId="Appleconvertedspace">
    <w:name w:val="apple-converted-space"/>
    <w:qFormat/>
    <w:rPr/>
  </w:style>
  <w:style w:type="character" w:styleId="ListLabel55">
    <w:name w:val="ListLabel 55"/>
    <w:qFormat/>
    <w:rPr>
      <w:rFonts w:ascii="Times New Roman" w:hAnsi="Times New Roman" w:cs="OpenSymbol"/>
      <w:sz w:val="24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Times New Roman" w:hAnsi="Times New Roman" w:eastAsia="Symbol"/>
      <w:color w:val="000000"/>
      <w:sz w:val="24"/>
      <w:lang w:val="en-US"/>
    </w:rPr>
  </w:style>
  <w:style w:type="character" w:styleId="ListLabel74">
    <w:name w:val="ListLabel 74"/>
    <w:qFormat/>
    <w:rPr>
      <w:rFonts w:ascii="Times New Roman" w:hAnsi="Times New Roman" w:eastAsia="Symbol"/>
      <w:b w:val="false"/>
      <w:bCs w:val="false"/>
      <w:color w:val="000000"/>
      <w:sz w:val="24"/>
      <w:szCs w:val="24"/>
      <w:lang w:val="uk-UA" w:eastAsia="uk-UA"/>
    </w:rPr>
  </w:style>
  <w:style w:type="character" w:styleId="ListLabel75">
    <w:name w:val="ListLabel 75"/>
    <w:qFormat/>
    <w:rPr>
      <w:rFonts w:ascii="Times New Roman" w:hAnsi="Times New Roman" w:cs="OpenSymbol"/>
      <w:sz w:val="24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ascii="Times New Roman" w:hAnsi="Times New Roman" w:cs="OpenSymbol"/>
      <w:sz w:val="24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ascii="Times New Roman" w:hAnsi="Times New Roman" w:eastAsia="Symbol"/>
      <w:color w:val="000000"/>
      <w:sz w:val="24"/>
      <w:lang w:val="en-US"/>
    </w:rPr>
  </w:style>
  <w:style w:type="character" w:styleId="ListLabel94">
    <w:name w:val="ListLabel 94"/>
    <w:qFormat/>
    <w:rPr>
      <w:rFonts w:ascii="Times New Roman" w:hAnsi="Times New Roman" w:eastAsia="Symbol"/>
      <w:b w:val="false"/>
      <w:bCs w:val="false"/>
      <w:color w:val="000000"/>
      <w:sz w:val="24"/>
      <w:szCs w:val="24"/>
      <w:lang w:val="uk-UA" w:eastAsia="uk-UA"/>
    </w:rPr>
  </w:style>
  <w:style w:type="character" w:styleId="ListLabel95">
    <w:name w:val="ListLabel 95"/>
    <w:qFormat/>
    <w:rPr>
      <w:rFonts w:ascii="Times New Roman" w:hAnsi="Times New Roman" w:cs="OpenSymbol"/>
      <w:sz w:val="24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ascii="Times New Roman" w:hAnsi="Times New Roman" w:cs="OpenSymbol"/>
      <w:sz w:val="24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ascii="Times New Roman" w:hAnsi="Times New Roman" w:eastAsia="Symbol"/>
      <w:color w:val="000000"/>
      <w:sz w:val="24"/>
      <w:lang w:val="en-US"/>
    </w:rPr>
  </w:style>
  <w:style w:type="character" w:styleId="ListLabel114">
    <w:name w:val="ListLabel 114"/>
    <w:qFormat/>
    <w:rPr>
      <w:rFonts w:ascii="Times New Roman" w:hAnsi="Times New Roman" w:eastAsia="Symbol"/>
      <w:b w:val="false"/>
      <w:bCs w:val="false"/>
      <w:color w:val="000000"/>
      <w:sz w:val="24"/>
      <w:szCs w:val="24"/>
      <w:lang w:val="uk-UA" w:eastAsia="uk-UA"/>
    </w:rPr>
  </w:style>
  <w:style w:type="character" w:styleId="ListLabel115">
    <w:name w:val="ListLabel 115"/>
    <w:qFormat/>
    <w:rPr>
      <w:rFonts w:ascii="Times New Roman" w:hAnsi="Times New Roman" w:cs="OpenSymbol"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ascii="Times New Roman" w:hAnsi="Times New Roman"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ascii="Times New Roman" w:hAnsi="Times New Roman" w:eastAsia="Symbol"/>
      <w:color w:val="000000"/>
      <w:sz w:val="24"/>
      <w:lang w:val="en-US"/>
    </w:rPr>
  </w:style>
  <w:style w:type="character" w:styleId="ListLabel134">
    <w:name w:val="ListLabel 134"/>
    <w:qFormat/>
    <w:rPr>
      <w:rFonts w:ascii="Times New Roman" w:hAnsi="Times New Roman" w:eastAsia="Symbol"/>
      <w:b w:val="false"/>
      <w:bCs w:val="false"/>
      <w:color w:val="000000"/>
      <w:sz w:val="24"/>
      <w:szCs w:val="24"/>
      <w:lang w:val="uk-UA" w:eastAsia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lfejChar"/>
    <w:uiPriority w:val="99"/>
    <w:unhideWhenUsed/>
    <w:rsid w:val="0005502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llbChar"/>
    <w:uiPriority w:val="99"/>
    <w:unhideWhenUsed/>
    <w:rsid w:val="0005502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4">
    <w:name w:val="Body Text Indent"/>
    <w:basedOn w:val="Normal"/>
    <w:pPr>
      <w:ind w:left="0" w:right="0" w:firstLine="540"/>
    </w:pPr>
    <w:rPr>
      <w:sz w:val="2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31">
    <w:name w:val="Основний текст з відступом 3"/>
    <w:basedOn w:val="Normal"/>
    <w:qFormat/>
    <w:pPr>
      <w:ind w:left="5520" w:right="0" w:hanging="0"/>
      <w:jc w:val="both"/>
    </w:pPr>
    <w:rPr>
      <w:lang w:val="uk-UA"/>
    </w:rPr>
  </w:style>
  <w:style w:type="paragraph" w:styleId="Articleblockdate">
    <w:name w:val="articleblockdate"/>
    <w:basedOn w:val="Normal"/>
    <w:qFormat/>
    <w:pPr>
      <w:suppressAutoHyphens w:val="false"/>
      <w:spacing w:before="100" w:after="100"/>
    </w:pPr>
    <w:rPr>
      <w:lang w:val="hu-HU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ycolog.com/fifthoc.html" TargetMode="External"/><Relationship Id="rId3" Type="http://schemas.openxmlformats.org/officeDocument/2006/relationships/hyperlink" Target="http://www.hert.ac.uk/natsci/Env/Fungi/" TargetMode="External"/><Relationship Id="rId4" Type="http://schemas.openxmlformats.org/officeDocument/2006/relationships/hyperlink" Target="http://www.ucmp.berkeley.edu/fungi/fungi.htm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31D8-BF5E-486B-810B-C52840C4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Application>LibreOffice/6.1.0.3$Windows_X86_64 LibreOffice_project/efb621ed25068d70781dc026f7e9c5187a4decd1</Application>
  <Pages>3</Pages>
  <Words>542</Words>
  <Characters>3726</Characters>
  <CharactersWithSpaces>4226</CharactersWithSpaces>
  <Paragraphs>61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2021-03-22T14:17:00Z</dcterms:created>
  <dc:creator>tanar</dc:creator>
  <dc:description/>
  <dc:language>uk-UA</dc:language>
  <cp:lastModifiedBy/>
  <dcterms:modified xsi:type="dcterms:W3CDTF">2022-11-06T19:40:35Z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