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II. Rákóci Ferenc Kárpátaljai Magyar Főiskola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tbl>
      <w:tblPr>
        <w:tblStyle w:val="Rcsostblzat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368"/>
        <w:gridCol w:w="1672"/>
        <w:gridCol w:w="1368"/>
        <w:gridCol w:w="1824"/>
        <w:gridCol w:w="1520"/>
      </w:tblGrid>
      <w:tr>
        <w:trPr>
          <w:trHeight w:val="1453" w:hRule="atLeast"/>
        </w:trPr>
        <w:tc>
          <w:tcPr>
            <w:tcW w:w="1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Képzési szint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BSc</w:t>
            </w:r>
          </w:p>
        </w:tc>
        <w:tc>
          <w:tcPr>
            <w:tcW w:w="1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Tagozat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Nappali, levelező</w:t>
            </w:r>
          </w:p>
        </w:tc>
        <w:tc>
          <w:tcPr>
            <w:tcW w:w="18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Tanév/félév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IV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7</w:t>
            </w:r>
          </w:p>
        </w:tc>
      </w:tr>
    </w:tbl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Tantárgyleírás</w:t>
      </w:r>
    </w:p>
    <w:tbl>
      <w:tblPr>
        <w:tblStyle w:val="Rcsostblzat"/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6496"/>
      </w:tblGrid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címe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Style21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  <w:t>Mikológia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Tanszék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Biológia és Kémia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Képzési program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hu-HU"/>
              </w:rPr>
              <w:t>014 Középfokú oktatás (Biológia és az ember egészsége)</w:t>
            </w:r>
          </w:p>
        </w:tc>
      </w:tr>
      <w:tr>
        <w:trPr>
          <w:trHeight w:val="1859" w:hRule="atLeast"/>
        </w:trPr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Típus (kötelező vagy választható):  kötelező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Kreditérték: 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Előadás: </w:t>
            </w:r>
            <w:r>
              <w:rPr>
                <w:rFonts w:cs="Times New Roman" w:ascii="Times New Roman" w:hAnsi="Times New Roman"/>
                <w:sz w:val="24"/>
                <w:szCs w:val="24"/>
                <w:lang w:val="hu-H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Szeminárium/gyakorlat: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Laboratóriumi munka: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Önálló munka: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Andrik Éva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biológia tudományok kandidátusa, PhD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andrik.eva@kmf.org.ua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előkövetelményei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Botanika, zoológia, molekuláris biológia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5556" w:hRule="atLeast"/>
        </w:trPr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célja, várható eredményei, főbb témakörei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en-US"/>
              </w:rPr>
              <w:t>Mikol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hu-HU"/>
              </w:rPr>
              <w:t>ó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en-US"/>
              </w:rPr>
              <w:t>gia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hu-HU"/>
              </w:rPr>
              <w:t xml:space="preserve"> a 7 szemeszter BSc képzés tantárgya 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 w:eastAsia="hu-HU"/>
              </w:rPr>
              <w:t>0401 Природничі науки напрям підготовки 6.040102 Біологія*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  <w:t xml:space="preserve"> szak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aps w:val="false"/>
                <w:smallCaps w:val="false"/>
                <w:u w:val="none"/>
                <w:lang w:val="hu-HU"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u w:val="none"/>
                <w:lang w:val="hu-HU" w:eastAsia="ru-RU"/>
              </w:rPr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Cél: </w:t>
            </w:r>
            <w:r>
              <w:rPr>
                <w:rFonts w:eastAsia="Symbol" w:cs="Symbol" w:ascii="Times New Roman" w:hAnsi="Times New Roman"/>
                <w:b w:val="false"/>
                <w:bCs w:val="false"/>
                <w:sz w:val="24"/>
                <w:szCs w:val="22"/>
                <w:lang w:val="hu-HU"/>
              </w:rPr>
              <w:t xml:space="preserve">a mikológia alapszintű ismertetése, </w:t>
            </w:r>
            <w:r>
              <w:rPr>
                <w:rFonts w:eastAsia="Symbol" w:cs="Symbol" w:ascii="Times New Roman" w:hAnsi="Times New Roman"/>
                <w:b w:val="false"/>
                <w:bCs w:val="false"/>
                <w:sz w:val="24"/>
                <w:szCs w:val="22"/>
                <w:lang w:val="en-US"/>
              </w:rPr>
              <w:t>ezen</w:t>
            </w:r>
            <w:r>
              <w:rPr>
                <w:rFonts w:eastAsia="Symbol" w:cs="Symbol" w:ascii="Times New Roman" w:hAnsi="Times New Roman"/>
                <w:b w:val="false"/>
                <w:bCs w:val="false"/>
                <w:sz w:val="24"/>
                <w:szCs w:val="22"/>
                <w:lang w:val="uk-UA"/>
              </w:rPr>
              <w:t xml:space="preserve"> </w:t>
            </w:r>
            <w:r>
              <w:rPr>
                <w:rFonts w:eastAsia="Symbol" w:cs="Symbol" w:ascii="Times New Roman" w:hAnsi="Times New Roman"/>
                <w:b w:val="false"/>
                <w:bCs w:val="false"/>
                <w:sz w:val="24"/>
                <w:szCs w:val="22"/>
                <w:lang w:val="en-US"/>
              </w:rPr>
              <w:t>bel</w:t>
            </w:r>
            <w:r>
              <w:rPr>
                <w:rFonts w:eastAsia="Symbol" w:cs="Symbol" w:ascii="Times New Roman" w:hAnsi="Times New Roman"/>
                <w:b w:val="false"/>
                <w:bCs w:val="false"/>
                <w:sz w:val="24"/>
                <w:szCs w:val="22"/>
                <w:lang w:val="hu-HU"/>
              </w:rPr>
              <w:t>ül a mikológia alapvető szakkifejezéseinek elsajátítása, a gombacsoportok szerveződésének, szaporodásának, életmódjuknak és képviselőiknek megismerése.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lineRule="auto" w:line="240" w:before="0" w:after="0"/>
              <w:ind w:left="72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  <w:t>Várható eredmények: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" w:cs="Symbol" w:ascii="Times New Roman" w:hAnsi="Times New Roman"/>
                <w:sz w:val="24"/>
                <w:szCs w:val="24"/>
                <w:lang w:val="hu-HU"/>
              </w:rPr>
              <w:t xml:space="preserve">- ismerni a gombaszerű szervezetek és a valódi gombák főntosabb jellemzőit, helyűket </w:t>
            </w:r>
            <w:r>
              <w:rPr>
                <w:rFonts w:eastAsia="Symbol" w:cs="Symbol" w:ascii="Times New Roman" w:hAnsi="Times New Roman"/>
                <w:bCs/>
                <w:sz w:val="24"/>
                <w:szCs w:val="24"/>
                <w:lang w:val="hu-HU"/>
              </w:rPr>
              <w:t>az elővilág rendszerében</w:t>
            </w:r>
            <w:r>
              <w:rPr>
                <w:rFonts w:eastAsia="Symbol" w:cs="Symbol"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eastAsia="Symbol" w:cs="Symbol"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szCs w:val="24"/>
                <w:lang w:val="hu-HU"/>
              </w:rPr>
              <w:t>jellemezni a gomba szervezetek morfológiai és fiziológiai általános tulajdonságait</w:t>
            </w: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szCs w:val="24"/>
                <w:lang w:val="hu-HU"/>
              </w:rPr>
              <w:t>ismerni a gombák szaporodásának típusait és módjait, fejlődési ciklusaikat egészében és rendszertani csoportonként</w:t>
            </w:r>
            <w:r>
              <w:rPr>
                <w:rFonts w:eastAsia="Symbol" w:cs="Symbol" w:ascii="Times New Roman" w:hAnsi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szCs w:val="24"/>
                <w:lang w:val="hu-HU"/>
              </w:rPr>
              <w:t xml:space="preserve">ismertetni a gombák főbb taxonómiai csoportjainak jellegzetességeit, képviselő fajaikat, </w:t>
            </w:r>
            <w:r>
              <w:rPr>
                <w:rFonts w:eastAsia="Symbol" w:cs="Symbol" w:ascii="Times New Roman" w:hAnsi="Times New Roman"/>
                <w:sz w:val="24"/>
                <w:szCs w:val="24"/>
                <w:lang w:val="hu-HU"/>
              </w:rPr>
              <w:t xml:space="preserve">életmódjukat, szerepüket a bioszférában, </w:t>
            </w:r>
            <w:r>
              <w:rPr>
                <w:rFonts w:eastAsia="Symbol" w:cs="Symbol" w:ascii="Times New Roman" w:hAnsi="Times New Roman"/>
                <w:iCs/>
                <w:sz w:val="24"/>
                <w:szCs w:val="24"/>
                <w:lang w:val="hu-HU"/>
              </w:rPr>
              <w:t>kapcsolataikat más élőlényekkel.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b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113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  <w:t>Főbb témakörök: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hu-HU"/>
              </w:rPr>
              <w:t xml:space="preserve">A gombák helye és szerepe az élővilágban.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hu-HU"/>
              </w:rPr>
              <w:t xml:space="preserve">Gombák biológiája és szaporodása.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left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lang w:val="hu-HU"/>
              </w:rPr>
              <w:t xml:space="preserve">Gombaszerű szervezetek (Nyálkagombák, Moszatgombák) felépítése, szaporodásuk, életmódjuk és képviselőik.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lang w:val="hu-HU"/>
              </w:rPr>
              <w:t xml:space="preserve">Valódi gombák (Fungi regnum) jellemzése: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lang w:val="hu-HU"/>
              </w:rPr>
              <w:t xml:space="preserve">- Chytridiomycota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lang w:val="hu-HU"/>
              </w:rPr>
              <w:t xml:space="preserve">- Zygomycota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lang w:val="hu-HU"/>
              </w:rPr>
              <w:t>- Glomeromycota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sz w:val="24"/>
                <w:lang w:val="hu-HU"/>
              </w:rPr>
              <w:t xml:space="preserve">- Ascomycota,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sz w:val="24"/>
                <w:lang w:val="hu-HU"/>
              </w:rPr>
              <w:t xml:space="preserve">- Basidiomycota,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sz w:val="24"/>
                <w:lang w:val="hu-HU"/>
              </w:rPr>
              <w:t xml:space="preserve">- Deuteromycota </w:t>
            </w:r>
          </w:p>
          <w:p>
            <w:pPr>
              <w:pStyle w:val="Normal"/>
              <w:spacing w:lineRule="auto" w:line="240" w:before="0" w:after="0"/>
              <w:ind w:left="0" w:right="0" w:firstLine="539"/>
              <w:jc w:val="both"/>
              <w:rPr/>
            </w:pPr>
            <w:r>
              <w:rPr>
                <w:rStyle w:val="Style13"/>
                <w:rFonts w:eastAsia="Symbol" w:cs="Symbol"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 xml:space="preserve">A gombák kölcsönkapcsolatai és ökológiája. 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eastAsia="Symbol" w:cs="Symbol"/>
                <w:sz w:val="24"/>
                <w:szCs w:val="24"/>
                <w:highlight w:val="white"/>
              </w:rPr>
            </w:pPr>
            <w:r>
              <w:rPr>
                <w:rFonts w:eastAsia="Symbol" w:cs="Symbol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teljesítésének és értékelésének feltételei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Minden modulért a diák modulzáró osztályzatot kap. Ennek kiállítása a modulzáró </w:t>
            </w: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dolgozat, a teljesített gyakorlati feledatok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valamint az </w:t>
            </w: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 xml:space="preserve">egyéni  feladatok alapján történik.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A megszerezhető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pontból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legalább 60-at kell elérni. A félév alatt összegyűjtött pontok átlagszáma beszámít a vizsgán.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tudás értékelésére a nemzetközi ECTS százpontos rendszert használjuk.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      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tantárggyal kapcsolatos egyéb tudnivalók, követelmények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spacing w:before="0" w:after="0"/>
              <w:ind w:left="0" w:right="0" w:firstLine="540"/>
              <w:rPr/>
            </w:pPr>
            <w:r>
              <w:rPr>
                <w:rFonts w:ascii="Times New Roman" w:hAnsi="Times New Roman"/>
                <w:sz w:val="24"/>
                <w:lang w:val="hu-HU"/>
              </w:rPr>
              <w:t xml:space="preserve">A foglalkozásokat az éppen rendelkezésre álló </w:t>
            </w:r>
            <w:r>
              <w:rPr>
                <w:rFonts w:ascii="Times New Roman" w:hAnsi="Times New Roman"/>
                <w:i/>
                <w:sz w:val="24"/>
                <w:lang w:val="hu-HU"/>
              </w:rPr>
              <w:t>tanteremben</w:t>
            </w:r>
            <w:r>
              <w:rPr>
                <w:rFonts w:ascii="Times New Roman" w:hAnsi="Times New Roman"/>
                <w:sz w:val="24"/>
                <w:lang w:val="hu-HU"/>
              </w:rPr>
              <w:t xml:space="preserve"> tartjuk, ahol legalább egy 2×1 méteres tábla áll rendelkezésre.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firstLine="540"/>
              <w:rPr/>
            </w:pP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Oktatási segédeszközök:</w:t>
              <w:br/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a rendelkezésre álló multimédiás vetítő.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4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0"/>
              <w:ind w:right="0" w:hanging="0"/>
              <w:jc w:val="both"/>
              <w:rPr>
                <w:rFonts w:ascii="Times New Roman" w:hAnsi="Times New Roman" w:eastAsia="Symbol"/>
                <w:color w:val="000000"/>
                <w:sz w:val="24"/>
                <w:lang w:val="hu-HU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 xml:space="preserve">1) Jakucs E. és Vajna L. (szerk.) (2003): Mikológia. Agroinform Kiadó és Nyomda Kft., Budapest. </w:t>
            </w:r>
          </w:p>
          <w:p>
            <w:pPr>
              <w:pStyle w:val="Style17"/>
              <w:widowControl/>
              <w:bidi w:val="0"/>
              <w:spacing w:lineRule="auto" w:line="276" w:before="0" w:after="0"/>
              <w:ind w:left="283" w:right="0" w:hanging="340"/>
              <w:jc w:val="both"/>
              <w:rPr>
                <w:rFonts w:ascii="Times New Roman" w:hAnsi="Times New Roman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>2) Jakucs E. A mikológia alapjai. – Budapest: ELTE Ötvös Kiadó. – 2</w:t>
            </w: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009. – 226 old.</w:t>
            </w:r>
          </w:p>
          <w:p>
            <w:pPr>
              <w:pStyle w:val="Style17"/>
              <w:widowControl/>
              <w:bidi w:val="0"/>
              <w:spacing w:lineRule="auto" w:line="276" w:before="0" w:after="0"/>
              <w:ind w:right="0" w:hanging="0"/>
              <w:jc w:val="both"/>
              <w:rPr>
                <w:rFonts w:ascii="Times New Roman" w:hAnsi="Times New Roman" w:eastAsia="Symbol"/>
                <w:color w:val="000000"/>
                <w:sz w:val="24"/>
                <w:lang w:val="hu-HU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>3) Екологія грибів: моногр. / Г.Л. Антоняк, З.І. Калинець-Мамчур, І.О. Дудка, Н.О. Бабич, Н.Є. Панас. – Львів: ЛНУ ім. Івана Франка, 2013. – 628 с. – (Сер. “Біологічні Студії”).</w:t>
            </w:r>
          </w:p>
          <w:p>
            <w:pPr>
              <w:pStyle w:val="Style17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Калинець-Мамчур З. Словник-довідник з альґології та мікології: [для студ. вищ. навч. закл.]. – Львів: Львівський національний університет імені Івана Франка, 2011. – 399 с.</w:t>
            </w:r>
          </w:p>
          <w:p>
            <w:pPr>
              <w:pStyle w:val="Style17"/>
              <w:shd w:val="clear" w:fill="FFFFFF"/>
              <w:tabs>
                <w:tab w:val="left" w:pos="8280" w:leader="none"/>
              </w:tabs>
              <w:spacing w:before="0" w:after="0"/>
              <w:rPr>
                <w:color w:val="000000"/>
                <w:sz w:val="24"/>
              </w:rPr>
            </w:pPr>
            <w:r>
              <w:rPr>
                <w:rStyle w:val="Style15"/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hu-HU" w:eastAsia="uk-UA"/>
              </w:rPr>
              <w:t>5) Леонтьєв Д.В., Акулов О.Ю. Загальна мікологія: Підручник для вищих навчальних закладів. – Х.: Видавнича група «Основа», 2007. – 228 с.</w:t>
            </w:r>
          </w:p>
          <w:p>
            <w:pPr>
              <w:pStyle w:val="Normal"/>
              <w:shd w:val="clear" w:fill="FFFFFF"/>
              <w:tabs>
                <w:tab w:val="left" w:pos="365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The Fifth Kingdom:</w:t>
            </w:r>
            <w:r>
              <w:rPr>
                <w:rStyle w:val="Appleconvertedspace"/>
                <w:rFonts w:eastAsia="Symbol"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" w:tgtFrame="_blank">
              <w:r>
                <w:rPr>
                  <w:rStyle w:val="Style15"/>
                  <w:rFonts w:eastAsia="Symbol" w:ascii="Times New Roman" w:hAnsi="Times New Roman"/>
                  <w:color w:val="000000"/>
                  <w:sz w:val="24"/>
                  <w:lang w:val="en-US"/>
                </w:rPr>
                <w:t>www.mycolog.com/fifthoc.html</w:t>
              </w:r>
            </w:hyperlink>
          </w:p>
          <w:p>
            <w:pPr>
              <w:pStyle w:val="Normal"/>
              <w:shd w:val="clear" w:fill="FFFFFF"/>
              <w:tabs>
                <w:tab w:val="left" w:pos="365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On-line mikológia tankönyv:</w:t>
            </w:r>
            <w:r>
              <w:rPr>
                <w:rStyle w:val="Appleconvertedspace"/>
                <w:rFonts w:eastAsia="Symbol"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" w:tgtFrame="_blank">
              <w:r>
                <w:rPr>
                  <w:rStyle w:val="Style15"/>
                  <w:rFonts w:eastAsia="Symbol" w:ascii="Times New Roman" w:hAnsi="Times New Roman"/>
                  <w:color w:val="000000"/>
                  <w:sz w:val="24"/>
                  <w:lang w:val="en-US"/>
                </w:rPr>
                <w:t>www.hert.ac.uk/natsci/Env/Fungi/</w:t>
              </w:r>
            </w:hyperlink>
          </w:p>
          <w:p>
            <w:pPr>
              <w:pStyle w:val="Normal"/>
              <w:shd w:val="clear" w:fill="FFFFFF"/>
              <w:tabs>
                <w:tab w:val="left" w:pos="365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uk-UA" w:eastAsia="uk-UA"/>
              </w:rPr>
              <w:t>Bevezetés a gombák világába (Introduction to the Fungi) :</w:t>
            </w:r>
            <w:hyperlink r:id="rId4">
              <w:r>
                <w:rPr>
                  <w:rStyle w:val="Style15"/>
                  <w:rFonts w:eastAsia="Symbol" w:ascii="Times New Roman" w:hAnsi="Times New Roman"/>
                  <w:b w:val="false"/>
                  <w:bCs w:val="false"/>
                  <w:color w:val="000000"/>
                  <w:sz w:val="24"/>
                  <w:szCs w:val="24"/>
                  <w:lang w:val="uk-UA" w:eastAsia="uk-UA"/>
                </w:rPr>
                <w:t>www.ucmp.berkeley.edu/fungi/fungi.html</w:t>
              </w:r>
            </w:hyperlink>
          </w:p>
          <w:p>
            <w:pPr>
              <w:pStyle w:val="Normal"/>
              <w:shd w:val="clear" w:fill="FFFFFF"/>
              <w:tabs>
                <w:tab w:val="left" w:pos="365" w:leader="none"/>
              </w:tabs>
              <w:spacing w:lineRule="auto" w:line="240" w:before="0" w:after="0"/>
              <w:ind w:left="0" w:right="0" w:hanging="0"/>
              <w:rPr/>
            </w:pPr>
            <w:bookmarkStart w:id="1" w:name="__DdeLink__746_3295335102"/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David Moore, Geoffrey D. Robson and Anthony P. J. Trinci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 </w:t>
            </w:r>
            <w:r>
              <w:rPr>
                <w:rStyle w:val="Style14"/>
                <w:rFonts w:eastAsia="Symbol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21st Century Guidebook to Fungi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, </w:t>
            </w:r>
            <w:r>
              <w:rPr>
                <w:rStyle w:val="Style14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UPDATED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 SECOND EDITION 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en-US" w:eastAsia="uk-UA"/>
              </w:rPr>
              <w:t xml:space="preserve">/ Mode of access: 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single"/>
                <w:lang w:val="en-US" w:eastAsia="uk-UA"/>
              </w:rPr>
              <w:t>http://www.davidmoore.org.uk/21st_century_guidebook_to_fungi_platinum/index.htm</w:t>
            </w:r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 жирным"/>
    <w:qFormat/>
    <w:rPr>
      <w:b/>
      <w:bCs/>
    </w:rPr>
  </w:style>
  <w:style w:type="character" w:styleId="ListLabel69">
    <w:name w:val="ListLabel 69"/>
    <w:qFormat/>
    <w:rPr>
      <w:rFonts w:cs="OpenSymbol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FF"/>
      <w:u w:val="single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ListLabel78">
    <w:name w:val="ListLabel 78"/>
    <w:qFormat/>
    <w:rPr>
      <w:rFonts w:ascii="Times New Roman" w:hAnsi="Times New Roman" w:cs="OpenSymbol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WW8Num5z0">
    <w:name w:val="WW8Num5z0"/>
    <w:qFormat/>
    <w:rPr>
      <w:rFonts w:ascii="Times New Roman" w:hAnsi="Times New Roman" w:eastAsia="Symbol" w:cs="Times New Roman"/>
      <w:b w:val="false"/>
      <w:i w:val="false"/>
      <w:caps w:val="false"/>
      <w:smallCaps w:val="false"/>
      <w:spacing w:val="0"/>
      <w:sz w:val="22"/>
      <w:szCs w:val="22"/>
      <w:lang w:val="hu-H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Appleconvertedspace">
    <w:name w:val="apple-converted-space"/>
    <w:qFormat/>
    <w:rPr/>
  </w:style>
  <w:style w:type="character" w:styleId="ListLabel88">
    <w:name w:val="ListLabel 88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89">
    <w:name w:val="ListLabel 89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character" w:styleId="ListLabel90">
    <w:name w:val="ListLabel 90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91">
    <w:name w:val="ListLabel 91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character" w:styleId="ListLabel92">
    <w:name w:val="ListLabel 92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93">
    <w:name w:val="ListLabel 93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pPr>
      <w:ind w:left="0" w:right="0" w:firstLine="540"/>
    </w:pPr>
    <w:rPr>
      <w:sz w:val="28"/>
    </w:rPr>
  </w:style>
  <w:style w:type="paragraph" w:styleId="Articleblockdate">
    <w:name w:val="articleblockdate"/>
    <w:basedOn w:val="Normal"/>
    <w:qFormat/>
    <w:pPr>
      <w:suppressAutoHyphens w:val="false"/>
      <w:spacing w:before="100" w:after="100"/>
    </w:pPr>
    <w:rPr>
      <w:lang w:val="hu-H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5">
    <w:name w:val="WW8Num5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ycolog.com/fifthoc.html" TargetMode="External"/><Relationship Id="rId3" Type="http://schemas.openxmlformats.org/officeDocument/2006/relationships/hyperlink" Target="http://www.hert.ac.uk/natsci/Env/Fungi/" TargetMode="External"/><Relationship Id="rId4" Type="http://schemas.openxmlformats.org/officeDocument/2006/relationships/hyperlink" Target="http://www.ucmp.berkeley.edu/fungi/fungi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10A3-B666-4C56-8364-E4CB7507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LibreOffice/6.1.0.3$Windows_X86_64 LibreOffice_project/efb621ed25068d70781dc026f7e9c5187a4decd1</Application>
  <Pages>3</Pages>
  <Words>451</Words>
  <Characters>3283</Characters>
  <CharactersWithSpaces>3707</CharactersWithSpaces>
  <Paragraphs>64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2021-03-22T14:18:00Z</dcterms:created>
  <dc:creator>tanar</dc:creator>
  <dc:description/>
  <dc:language>uk-UA</dc:language>
  <cp:lastModifiedBy/>
  <dcterms:modified xsi:type="dcterms:W3CDTF">2022-11-06T19:33:56Z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