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27"/>
        <w:gridCol w:w="1356"/>
        <w:gridCol w:w="1620"/>
        <w:gridCol w:w="1681"/>
        <w:gridCol w:w="1794"/>
        <w:gridCol w:w="1394"/>
      </w:tblGrid>
      <w:tr w:rsidR="002F1AD2" w:rsidRPr="002F1AD2" w:rsidTr="00A26453">
        <w:trPr>
          <w:trHeight w:val="1453"/>
        </w:trPr>
        <w:tc>
          <w:tcPr>
            <w:tcW w:w="1819" w:type="dxa"/>
          </w:tcPr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26453" w:rsidRPr="00E2010A" w:rsidRDefault="00E2010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:rsidR="00A26453" w:rsidRPr="006342C1" w:rsidRDefault="00E2010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  <w:r w:rsidR="006342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6342C1">
              <w:rPr>
                <w:rFonts w:ascii="Times New Roman" w:hAnsi="Times New Roman" w:cs="Times New Roman"/>
                <w:b/>
                <w:sz w:val="24"/>
                <w:szCs w:val="24"/>
              </w:rPr>
              <w:t>заочна</w:t>
            </w:r>
            <w:proofErr w:type="spellEnd"/>
          </w:p>
        </w:tc>
        <w:tc>
          <w:tcPr>
            <w:tcW w:w="1824" w:type="dxa"/>
          </w:tcPr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:rsidR="00A26453" w:rsidRPr="00E2010A" w:rsidRDefault="00E2010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4/8</w:t>
            </w:r>
          </w:p>
        </w:tc>
      </w:tr>
    </w:tbl>
    <w:p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0B5C9B" w:rsidRDefault="00E2010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Лікарські рослини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0B5C9B" w:rsidRDefault="00E2010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Хімія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343" w:type="dxa"/>
          </w:tcPr>
          <w:p w:rsidR="00E2010A" w:rsidRPr="00CD59CD" w:rsidRDefault="006342C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середня освіта Біологія  та здоровя людини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E2010A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обовязкова</w:t>
            </w:r>
          </w:p>
          <w:p w:rsidR="007E3FBF" w:rsidRPr="0086415B" w:rsidRDefault="007E3FBF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0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6415B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</w:p>
          <w:p w:rsidR="00705681" w:rsidRPr="0086415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15B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  <w:p w:rsidR="00705681" w:rsidRPr="00C301DC" w:rsidRDefault="00C9473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0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301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681" w:rsidRPr="002F1A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41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5681" w:rsidRPr="00CD59CD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20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6415B">
              <w:rPr>
                <w:rFonts w:ascii="Times New Roman" w:hAnsi="Times New Roman" w:cs="Times New Roman"/>
                <w:sz w:val="24"/>
                <w:szCs w:val="24"/>
              </w:rPr>
              <w:t>/114</w:t>
            </w:r>
          </w:p>
        </w:tc>
      </w:tr>
      <w:tr w:rsidR="002F1AD2" w:rsidRPr="002F1AD2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науковіступені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392D23" w:rsidRPr="000B5C9B" w:rsidRDefault="00E2010A" w:rsidP="00392D23">
            <w:pPr>
              <w:rPr>
                <w:rFonts w:ascii="Times New Roman" w:hAnsi="Times New Roman" w:cs="Times New Roman"/>
                <w:lang w:val="uk-UA"/>
              </w:rPr>
            </w:pPr>
            <w:r w:rsidRPr="000B5C9B">
              <w:rPr>
                <w:rFonts w:ascii="Times New Roman" w:hAnsi="Times New Roman" w:cs="Times New Roman"/>
                <w:lang w:val="uk-UA"/>
              </w:rPr>
              <w:t xml:space="preserve"> Повлін Ірина Емерихівна, кандидат сільскогосподарських наук,  в/о доцент</w:t>
            </w:r>
          </w:p>
          <w:p w:rsidR="00E2010A" w:rsidRPr="00E2010A" w:rsidRDefault="00E2010A" w:rsidP="00392D23">
            <w:pPr>
              <w:rPr>
                <w:lang w:val="uk-UA"/>
              </w:rPr>
            </w:pPr>
            <w:r w:rsidRPr="001C5514">
              <w:rPr>
                <w:rFonts w:ascii="Times New Roman" w:hAnsi="Times New Roman" w:cs="Times New Roman"/>
              </w:rPr>
              <w:t>polin.iren@kmf.org.ua</w:t>
            </w:r>
          </w:p>
        </w:tc>
      </w:tr>
      <w:tr w:rsidR="002F1AD2" w:rsidRPr="000B5C9B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B5C9B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4D2755" w:rsidRPr="000B5C9B" w:rsidRDefault="005C519A" w:rsidP="004D27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Предмет  </w:t>
            </w:r>
            <w:r w:rsidR="004D2755" w:rsidRPr="000B5C9B">
              <w:rPr>
                <w:rFonts w:ascii="Times New Roman" w:hAnsi="Times New Roman"/>
                <w:sz w:val="24"/>
                <w:szCs w:val="24"/>
              </w:rPr>
              <w:t xml:space="preserve">базується на ботанічних знаннях, зокрема з анатомії, морфології і систематики рослин. </w:t>
            </w:r>
          </w:p>
          <w:p w:rsidR="004D2755" w:rsidRPr="000B5C9B" w:rsidRDefault="004D2755" w:rsidP="004D27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>Курс розрахований на студентів, які мають певний обсяг знан</w:t>
            </w:r>
            <w:r w:rsidR="005C519A" w:rsidRPr="000B5C9B">
              <w:rPr>
                <w:rFonts w:ascii="Times New Roman" w:hAnsi="Times New Roman"/>
                <w:sz w:val="24"/>
                <w:szCs w:val="24"/>
              </w:rPr>
              <w:t>ь з ботаніки, хімії та екології, цитологіїї та фізіологіїї рослин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D23" w:rsidRPr="000B5C9B" w:rsidRDefault="00392D23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0B5C9B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B5C9B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 навчальної дисципліни</w:t>
            </w:r>
            <w:r w:rsidR="00E237EC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</w:p>
        </w:tc>
        <w:tc>
          <w:tcPr>
            <w:tcW w:w="6343" w:type="dxa"/>
          </w:tcPr>
          <w:p w:rsidR="005C519A" w:rsidRPr="000B5C9B" w:rsidRDefault="005C519A" w:rsidP="005C519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b/>
                <w:sz w:val="24"/>
                <w:szCs w:val="24"/>
              </w:rPr>
              <w:t xml:space="preserve"> Мета: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Ознайом</w:t>
            </w:r>
            <w:r w:rsidRPr="000B5C9B">
              <w:rPr>
                <w:rFonts w:ascii="Times New Roman" w:hAnsi="Times New Roman"/>
                <w:b/>
                <w:sz w:val="24"/>
                <w:szCs w:val="24"/>
              </w:rPr>
              <w:t>лення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та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вивч</w:t>
            </w:r>
            <w:r w:rsidRPr="000B5C9B">
              <w:rPr>
                <w:rFonts w:ascii="Times New Roman" w:hAnsi="Times New Roman"/>
                <w:b/>
                <w:sz w:val="24"/>
                <w:szCs w:val="24"/>
              </w:rPr>
              <w:t>ення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студентів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r w:rsidRPr="000B5C9B">
              <w:rPr>
                <w:rFonts w:ascii="Times New Roman" w:hAnsi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особливості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лікарських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рослин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безпечне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розпізнавання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лікарської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сировини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фармакологічну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дію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та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класифікацію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діючих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речовин</w:t>
            </w:r>
            <w:proofErr w:type="spellEnd"/>
            <w:r w:rsidR="009E0950" w:rsidRPr="000B5C9B">
              <w:rPr>
                <w:rFonts w:ascii="Times New Roman" w:hAnsi="Times New Roman"/>
                <w:b/>
                <w:sz w:val="24"/>
                <w:szCs w:val="24"/>
              </w:rPr>
              <w:t>, ознайомлення майбутн</w:t>
            </w:r>
            <w:r w:rsidRPr="000B5C9B">
              <w:rPr>
                <w:rFonts w:ascii="Times New Roman" w:hAnsi="Times New Roman"/>
                <w:b/>
                <w:sz w:val="24"/>
                <w:szCs w:val="24"/>
              </w:rPr>
              <w:t xml:space="preserve">ього </w:t>
            </w:r>
            <w:proofErr w:type="spellStart"/>
            <w:r w:rsidRPr="000B5C9B">
              <w:rPr>
                <w:rFonts w:ascii="Times New Roman" w:hAnsi="Times New Roman"/>
                <w:b/>
                <w:sz w:val="24"/>
                <w:szCs w:val="24"/>
              </w:rPr>
              <w:t>вчитеня</w:t>
            </w:r>
            <w:proofErr w:type="spellEnd"/>
            <w:r w:rsidRPr="000B5C9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з видовим складом лікарських рослин, їхнім хімічним складом, біологічними і екологічними особливостями та поширенням. Передбачається на основі отриманих знань розширити і поглибити знання студентів про морфолого-анатомічні ознаки, положення лікарських рослин у системі царства Рослини, одержані ними у курсі “Ботаніка”.</w:t>
            </w:r>
          </w:p>
          <w:p w:rsidR="005C519A" w:rsidRPr="000B5C9B" w:rsidRDefault="005C519A" w:rsidP="005C519A">
            <w:pPr>
              <w:spacing w:after="120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Завдання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теоретичні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дикорослих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вирощуваних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Показати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анатомічні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</w:t>
            </w:r>
            <w:r w:rsidR="00DD0CB0">
              <w:rPr>
                <w:rFonts w:ascii="Times New Roman" w:hAnsi="Times New Roman" w:cs="Times New Roman"/>
                <w:sz w:val="24"/>
                <w:szCs w:val="24"/>
              </w:rPr>
              <w:t>вості</w:t>
            </w:r>
            <w:proofErr w:type="spellEnd"/>
            <w:r w:rsidR="00DD0C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D0CB0">
              <w:rPr>
                <w:rFonts w:ascii="Times New Roman" w:hAnsi="Times New Roman" w:cs="Times New Roman"/>
                <w:sz w:val="24"/>
                <w:szCs w:val="24"/>
              </w:rPr>
              <w:t>дикорослих</w:t>
            </w:r>
            <w:proofErr w:type="spellEnd"/>
            <w:r w:rsidR="00D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C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D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CB0">
              <w:rPr>
                <w:rFonts w:ascii="Times New Roman" w:hAnsi="Times New Roman" w:cs="Times New Roman"/>
                <w:sz w:val="24"/>
                <w:szCs w:val="24"/>
              </w:rPr>
              <w:t>культивованих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="00D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CB0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DD0C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C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первиноої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результаті вивчення навчальної дисципліни студент повинен</w:t>
            </w:r>
            <w:r w:rsidR="00DC29B6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знати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5C519A" w:rsidRPr="000B5C9B" w:rsidRDefault="00DC29B6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-біологічно активні речовині та їх класифікацію</w:t>
            </w:r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29B6" w:rsidRPr="000B5C9B">
              <w:rPr>
                <w:rFonts w:ascii="Times New Roman" w:hAnsi="Times New Roman" w:cs="Times New Roman"/>
                <w:sz w:val="24"/>
                <w:szCs w:val="24"/>
              </w:rPr>
              <w:t>іологічні</w:t>
            </w:r>
            <w:proofErr w:type="spellEnd"/>
            <w:r w:rsidR="00DC29B6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9B6" w:rsidRPr="000B5C9B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="00DC29B6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9B6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найпопулярніших</w:t>
            </w:r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перспективних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дикорослих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лікарських рослин</w:t>
            </w:r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культивування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переробку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фітонцидно-лікарських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сформувати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лікувальні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рідкісні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9B6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  <w:p w:rsidR="005C519A" w:rsidRPr="000B5C9B" w:rsidRDefault="005C519A" w:rsidP="005C519A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харчовій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29B6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косметичній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парфюмерній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9B6" w:rsidRPr="000B5C9B" w:rsidRDefault="00DC29B6" w:rsidP="00DC29B6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розпізнівати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угрупуваннях</w:t>
            </w:r>
            <w:proofErr w:type="spellEnd"/>
          </w:p>
          <w:p w:rsidR="00DC29B6" w:rsidRPr="000B5C9B" w:rsidRDefault="00DC29B6" w:rsidP="00DC29B6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біохімічний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proofErr w:type="spellEnd"/>
          </w:p>
          <w:p w:rsidR="00DC29B6" w:rsidRPr="000B5C9B" w:rsidRDefault="00DC29B6" w:rsidP="00DC29B6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медицині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найпростіших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фіточаїв</w:t>
            </w:r>
            <w:proofErr w:type="spellEnd"/>
          </w:p>
          <w:p w:rsidR="00DC29B6" w:rsidRPr="000B5C9B" w:rsidRDefault="00DC29B6" w:rsidP="00DC29B6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охарактеризувати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культурні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9B6" w:rsidRPr="000B5C9B" w:rsidRDefault="00DC29B6" w:rsidP="00DC29B6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>Важливе місце у програмі курсу відведено питанням охорони лікарських рослин в Україні, оскільки ресурси цих рослин мають тенденцію до зменшення.</w:t>
            </w:r>
          </w:p>
          <w:p w:rsidR="00DC29B6" w:rsidRPr="000B5C9B" w:rsidRDefault="00DC29B6" w:rsidP="00DC29B6">
            <w:pPr>
              <w:tabs>
                <w:tab w:val="left" w:pos="284"/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Основна тематика курсу:</w:t>
            </w:r>
          </w:p>
          <w:p w:rsidR="00DC29B6" w:rsidRPr="000B5C9B" w:rsidRDefault="00DC29B6" w:rsidP="00DC29B6">
            <w:pPr>
              <w:tabs>
                <w:tab w:val="left" w:pos="284"/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1.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вивчення лікарських рослин.</w:t>
            </w:r>
          </w:p>
          <w:p w:rsidR="00DC29B6" w:rsidRPr="000B5C9B" w:rsidRDefault="00DC29B6" w:rsidP="00DC2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територіїї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міжнародне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народній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медицині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Галенові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препарати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Фармакопе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я.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фармакопеї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Аромотерапія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гомеопатії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фітотерапії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Препарати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виготовлені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Мотивації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29B6" w:rsidRPr="000B5C9B" w:rsidRDefault="00DC29B6" w:rsidP="00DC2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шляхи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рослинної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сировини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29B6" w:rsidRPr="000B5C9B" w:rsidRDefault="00DC29B6" w:rsidP="00DC29B6">
            <w:pPr>
              <w:spacing w:after="120"/>
              <w:ind w:left="39"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E53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визначення.Макроскопічна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мікроскопічні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особливості.Єфірні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олії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вміст.Визначення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єфірної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олії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9CD" w:rsidRDefault="00CD59CD" w:rsidP="00DC29B6">
            <w:pPr>
              <w:spacing w:after="120"/>
              <w:ind w:left="39"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E53" w:rsidRPr="000B5C9B" w:rsidRDefault="00911E53" w:rsidP="00DC29B6">
            <w:pPr>
              <w:spacing w:after="120"/>
              <w:ind w:left="39"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зб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ору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911E53" w:rsidRPr="000B5C9B" w:rsidRDefault="00911E53" w:rsidP="000B5C9B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морфологічні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точного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морфологічних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фармакопеї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E53" w:rsidRPr="000B5C9B" w:rsidRDefault="00911E53" w:rsidP="000B5C9B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Рідкісн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рослини .</w:t>
            </w:r>
          </w:p>
          <w:p w:rsidR="00911E53" w:rsidRPr="000B5C9B" w:rsidRDefault="00911E53" w:rsidP="000B5C9B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взяті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труйн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5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96">
              <w:rPr>
                <w:rFonts w:ascii="Times New Roman" w:hAnsi="Times New Roman" w:cs="Times New Roman"/>
                <w:sz w:val="24"/>
                <w:szCs w:val="24"/>
              </w:rPr>
              <w:t>лікарськ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Спеціальні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збору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отруйних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часу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накопичення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діючих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E53" w:rsidRPr="000B5C9B" w:rsidRDefault="00911E53" w:rsidP="000B5C9B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угрупуваннях.Система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угрупувань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1E53" w:rsidRPr="000B5C9B" w:rsidRDefault="00911E53" w:rsidP="00911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фітоценозів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температури,едафічних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факторів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рельєф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угрупування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Зональні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ліса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Дубово-грабові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угрупування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E53" w:rsidRPr="000B5C9B" w:rsidRDefault="00911E53" w:rsidP="00911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E53" w:rsidRPr="000B5C9B" w:rsidRDefault="00911E53" w:rsidP="00911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6.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дикорослих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2114" w:rsidRDefault="009E0950" w:rsidP="000B5C9B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Видовий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природної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флори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Виз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блекоти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чорної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морфологія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насіння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приготування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препаратів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Деревій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звичайний</w:t>
            </w:r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ропива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дводомна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ірчаки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C62114">
              <w:rPr>
                <w:rFonts w:ascii="Times New Roman" w:hAnsi="Times New Roman" w:cs="Times New Roman"/>
                <w:sz w:val="24"/>
                <w:szCs w:val="24"/>
              </w:rPr>
              <w:t>рцевий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почечуйний,і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зміїїний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пориш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звичайний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рицики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звичайні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уравлина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орн</w:t>
            </w:r>
            <w:r w:rsidR="00C62114">
              <w:rPr>
                <w:rFonts w:ascii="Times New Roman" w:hAnsi="Times New Roman" w:cs="Times New Roman"/>
                <w:sz w:val="24"/>
                <w:szCs w:val="24"/>
              </w:rPr>
              <w:t>иця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звичайна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ерстач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прямостоячий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серцелиста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114">
              <w:rPr>
                <w:rFonts w:ascii="Times New Roman" w:hAnsi="Times New Roman" w:cs="Times New Roman"/>
                <w:sz w:val="24"/>
                <w:szCs w:val="24"/>
              </w:rPr>
              <w:t>колючий</w:t>
            </w:r>
            <w:proofErr w:type="spellEnd"/>
            <w:r w:rsidR="00C6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вощ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польовий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Звіробій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звичайний</w:t>
            </w:r>
            <w:proofErr w:type="spellEnd"/>
            <w:r w:rsidR="00911E53"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E53" w:rsidRPr="000B5C9B" w:rsidRDefault="00911E53" w:rsidP="000B5C9B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950" w:rsidRPr="000B5C9B" w:rsidRDefault="009E0950" w:rsidP="000B5C9B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B5C9B">
              <w:rPr>
                <w:rFonts w:ascii="Times New Roman" w:hAnsi="Times New Roman" w:cs="Times New Roman"/>
                <w:b/>
                <w:sz w:val="24"/>
                <w:szCs w:val="24"/>
              </w:rPr>
              <w:t>ікарськи</w:t>
            </w:r>
            <w:proofErr w:type="spellEnd"/>
            <w:r w:rsid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B5C9B">
              <w:rPr>
                <w:rFonts w:ascii="Times New Roman" w:hAnsi="Times New Roman" w:cs="Times New Roman"/>
                <w:b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культив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уються</w:t>
            </w:r>
            <w:proofErr w:type="spellEnd"/>
          </w:p>
          <w:p w:rsidR="00392D23" w:rsidRPr="0086415B" w:rsidRDefault="009E0950" w:rsidP="008641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капустяні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Макро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 w:rsidR="00C62114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скопічні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особлиіості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губоцвітих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Зонтичних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макові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Пасльонові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Валеріана лікарська.Гірчиця.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Алоє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Женьшень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Євкаліпт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Ваніль, Перець чорний</w:t>
            </w:r>
            <w:r w:rsidR="00C62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Женьшень.</w:t>
            </w:r>
          </w:p>
        </w:tc>
      </w:tr>
    </w:tbl>
    <w:p w:rsidR="0086415B" w:rsidRDefault="0086415B">
      <w:bookmarkStart w:id="1" w:name="_Hlk50123234"/>
      <w:r>
        <w:lastRenderedPageBreak/>
        <w:br w:type="page"/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0B5C9B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B5C9B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9E0950" w:rsidRPr="000B5C9B" w:rsidRDefault="009E0950" w:rsidP="009E0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Обов’язковим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є: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:rsidR="009E0950" w:rsidRPr="000B5C9B" w:rsidRDefault="009E0950" w:rsidP="009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своєчасне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тесових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конспектування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винесеної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іспиту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50" w:rsidRPr="000B5C9B" w:rsidRDefault="009E0950" w:rsidP="009E095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перевищувати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Положенні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навчальний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процес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ЗУІ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50" w:rsidRPr="000B5C9B" w:rsidRDefault="009E0950" w:rsidP="009E0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2.Вимогою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рівня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засвоєння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навчального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матеріалу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є:</w:t>
            </w:r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щонайменше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задовільні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реферати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колоквіуми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індивідуальні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контрольні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завдання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заочників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*)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50" w:rsidRPr="000B5C9B" w:rsidRDefault="009E0950" w:rsidP="009E09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Ліквідація</w:t>
            </w:r>
            <w:proofErr w:type="spellEnd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заборгованості</w:t>
            </w:r>
            <w:proofErr w:type="spellEnd"/>
          </w:p>
          <w:p w:rsidR="009E0950" w:rsidRPr="000B5C9B" w:rsidRDefault="009E0950" w:rsidP="009E095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заборгованості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незадовільних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оцінок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реферати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колоквіуми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Положення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навчальний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>процес</w:t>
            </w:r>
            <w:proofErr w:type="spellEnd"/>
            <w:r w:rsidRPr="000B5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ЗУІ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викладач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виникла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кафедру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Навчальну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50" w:rsidRPr="000B5C9B" w:rsidRDefault="009E0950" w:rsidP="009E0950">
            <w:pPr>
              <w:spacing w:after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бути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проведений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семестрової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поточно-модульного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відповідне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зафіксоване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протоколі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враховане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навчальному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плані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робочій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50" w:rsidRPr="000B5C9B" w:rsidRDefault="009E0950" w:rsidP="009E0950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формою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підсумкового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іспит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диференційований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семестрова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може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бути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критерій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допуску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іспиту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зарахована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>іспиті</w:t>
            </w:r>
            <w:proofErr w:type="spellEnd"/>
            <w:r w:rsidRPr="000B5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70F" w:rsidRPr="000B5C9B" w:rsidRDefault="003D470F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0B5C9B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B5C9B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3D470F" w:rsidRPr="000B5C9B" w:rsidRDefault="00FA388A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 приактичних /семінарських занять:</w:t>
            </w:r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сушіння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харчовій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парфюмерній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промисловості</w:t>
            </w:r>
            <w:proofErr w:type="spellEnd"/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Отруйні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місня росповсюдження лікарських рослин.Вплив різних факторів на накопичення діючих речовин.</w:t>
            </w:r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аромотерапіїї.Найважливіші види лікарських рослин які використовуються в ароматерапіїї</w:t>
            </w:r>
          </w:p>
          <w:p w:rsidR="00FA388A" w:rsidRPr="000B5C9B" w:rsidRDefault="00FA388A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діючих речовин</w:t>
            </w:r>
          </w:p>
          <w:p w:rsidR="00FA388A" w:rsidRPr="000B5C9B" w:rsidRDefault="007C5FE3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сировини</w:t>
            </w:r>
            <w:proofErr w:type="spellEnd"/>
          </w:p>
          <w:p w:rsidR="007C5FE3" w:rsidRPr="000B5C9B" w:rsidRDefault="007C5FE3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дикорослих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культивованих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визначником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гербарій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C5FE3" w:rsidRPr="000B5C9B" w:rsidRDefault="007C5FE3" w:rsidP="00FA388A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Первинна обробка сировини</w:t>
            </w:r>
          </w:p>
          <w:p w:rsidR="007C5FE3" w:rsidRPr="00CD59CD" w:rsidRDefault="007C5FE3" w:rsidP="00CD59CD">
            <w:pPr>
              <w:pStyle w:val="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>Основні вимоги до заготівлі та зберігання лікарської сировини.</w:t>
            </w:r>
            <w:bookmarkStart w:id="3" w:name="_GoBack"/>
            <w:bookmarkEnd w:id="3"/>
          </w:p>
        </w:tc>
      </w:tr>
      <w:tr w:rsidR="002F1AD2" w:rsidRPr="000B5C9B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B5C9B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5C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Сербін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.- Х.: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 1997.- 432 с.</w:t>
            </w:r>
          </w:p>
          <w:p w:rsidR="007C5FE3" w:rsidRPr="000B5C9B" w:rsidRDefault="007C5FE3" w:rsidP="007C5FE3">
            <w:pPr>
              <w:numPr>
                <w:ilvl w:val="0"/>
                <w:numId w:val="3"/>
              </w:numPr>
              <w:ind w:right="-7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Челомбитько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Дорофеев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., 2008 - 686с.</w:t>
            </w:r>
          </w:p>
          <w:p w:rsidR="007C5FE3" w:rsidRPr="000B5C9B" w:rsidRDefault="007C5FE3" w:rsidP="007C5FE3">
            <w:pPr>
              <w:numPr>
                <w:ilvl w:val="0"/>
                <w:numId w:val="3"/>
              </w:numPr>
              <w:ind w:right="-7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Челомбитько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., 1990 - 467с.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Мінарченко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Луцьк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 1996. 178 с.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Сербін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А.Г,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Сіра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Л. М.,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Т. О. .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.- В.: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 2007. -486 с..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Сербін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Сіра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Л. М., 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Фармацевтична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.- В.: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 2007.- 487 с.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Енциклопедичний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довідник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А.М.Гродзінського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.- К.: “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енциклопедія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”, 1990 – 543с. 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Мінарченко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В.М. 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Л М.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П. І.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ботаніка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К. -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 2009.- 326 с.</w:t>
            </w:r>
          </w:p>
          <w:p w:rsidR="007C5FE3" w:rsidRPr="000B5C9B" w:rsidRDefault="007C5FE3" w:rsidP="007C5FE3">
            <w:pPr>
              <w:pStyle w:val="Szvegtrzs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Мінарченко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І.А.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К.: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Фітосоціоцентр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, 2002. 172 с.</w:t>
            </w:r>
          </w:p>
          <w:p w:rsidR="007C5FE3" w:rsidRPr="000B5C9B" w:rsidRDefault="007C5FE3" w:rsidP="007C5FE3">
            <w:pPr>
              <w:numPr>
                <w:ilvl w:val="0"/>
                <w:numId w:val="3"/>
              </w:numPr>
              <w:spacing w:before="100" w:beforeAutospacing="1" w:after="100" w:afterAutospacing="1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Бензель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Дармограй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Р.Є.,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П.В.,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Бензель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І.Л.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Лікарські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фітотерапія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фітотерапевтична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рецептура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). - К.: ВСВ “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”, 2010. – 400 с.</w:t>
            </w:r>
          </w:p>
          <w:p w:rsidR="007C5FE3" w:rsidRPr="000B5C9B" w:rsidRDefault="007C5FE3" w:rsidP="007C5F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Георгиевский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Комисаренко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Н. Ф.,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С.Е.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Биологически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sym w:font="Times New Roman" w:char="2014"/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, 1990. </w:t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sym w:font="Times New Roman" w:char="2014"/>
            </w:r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333 с.</w:t>
            </w:r>
          </w:p>
          <w:p w:rsidR="007C5FE3" w:rsidRPr="000B5C9B" w:rsidRDefault="007C5FE3" w:rsidP="007C5FE3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Біленко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В.Г.(2007):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Технологія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вирощування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медичній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ветерінарній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практиці-вид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Наукова</w:t>
            </w:r>
            <w:proofErr w:type="spellEnd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sz w:val="24"/>
                <w:szCs w:val="24"/>
              </w:rPr>
              <w:t>думка</w:t>
            </w:r>
            <w:proofErr w:type="spellEnd"/>
          </w:p>
          <w:p w:rsidR="007C5FE3" w:rsidRPr="000B5C9B" w:rsidRDefault="007C5FE3" w:rsidP="007C5F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FE3" w:rsidRPr="000B5C9B" w:rsidRDefault="007C5FE3" w:rsidP="007C5FE3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Чекман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І.С.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Клінічна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фітотерапія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Видавництво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А.С.К.,Київ.2003</w:t>
            </w:r>
          </w:p>
          <w:p w:rsidR="007C5FE3" w:rsidRPr="000B5C9B" w:rsidRDefault="007C5FE3" w:rsidP="007C5FE3">
            <w:pPr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Формазюк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В.І.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Єнциклопедія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харчових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лікарських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рослин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Видавництво</w:t>
            </w:r>
            <w:proofErr w:type="spellEnd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А.С.К.,</w:t>
            </w:r>
            <w:proofErr w:type="spellStart"/>
            <w:r w:rsidRPr="000B5C9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Київ</w:t>
            </w:r>
            <w:proofErr w:type="spellEnd"/>
          </w:p>
          <w:p w:rsidR="000B5C9B" w:rsidRPr="000B5C9B" w:rsidRDefault="000B5C9B" w:rsidP="000B5C9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5C9B">
              <w:rPr>
                <w:rFonts w:ascii="Times New Roman" w:hAnsi="Times New Roman"/>
                <w:sz w:val="24"/>
                <w:szCs w:val="24"/>
              </w:rPr>
              <w:t>Атлас ареалов и ресурсов лекарственных растений СССР. – М.: Медгиз, 1983. – 340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0B5C9B" w:rsidRPr="000B5C9B" w:rsidRDefault="000B5C9B" w:rsidP="000B5C9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Глухов</w:t>
            </w:r>
            <w:r w:rsidRPr="000B5C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А.</w:t>
            </w:r>
            <w:r w:rsidRPr="000B5C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З.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и др. Ядовитые растения кормовых угодий юго-востока Украины. – Донецк: ООО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Лебедь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, 2002. – 178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:rsidR="000B5C9B" w:rsidRPr="000B5C9B" w:rsidRDefault="000B5C9B" w:rsidP="000B5C9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Ивашин</w:t>
            </w:r>
            <w:r w:rsidRPr="000B5C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 w:rsidRPr="000B5C9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С.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и др. Справочник по заготовкам лекарственных растений. – Киев: Урожай, 1987. – 293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0B5C9B" w:rsidRPr="000B5C9B" w:rsidRDefault="000B5C9B" w:rsidP="000B5C9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B5C9B">
              <w:rPr>
                <w:rFonts w:ascii="Times New Roman" w:hAnsi="Times New Roman"/>
                <w:sz w:val="24"/>
                <w:szCs w:val="24"/>
              </w:rPr>
              <w:t>Лекарственные растений Украины. Справочник /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Под ред. А.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М.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Гродзинского. 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К.: Медгиз, 1990. – 548</w:t>
            </w:r>
            <w:r w:rsidRPr="000B5C9B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7C5FE3" w:rsidRPr="000B5C9B" w:rsidRDefault="000B5C9B" w:rsidP="000B5C9B">
            <w:pPr>
              <w:pStyle w:val="a1"/>
              <w:rPr>
                <w:rFonts w:ascii="Times New Roman" w:hAnsi="Times New Roman"/>
                <w:sz w:val="24"/>
                <w:szCs w:val="24"/>
              </w:rPr>
            </w:pPr>
            <w:r w:rsidRPr="000B5C9B">
              <w:rPr>
                <w:rFonts w:ascii="Times New Roman" w:hAnsi="Times New Roman"/>
                <w:sz w:val="24"/>
                <w:szCs w:val="24"/>
              </w:rPr>
              <w:t xml:space="preserve">19.. </w:t>
            </w:r>
            <w:r w:rsidRPr="000B5C9B">
              <w:rPr>
                <w:rFonts w:ascii="Times New Roman" w:hAnsi="Times New Roman"/>
                <w:i/>
                <w:sz w:val="24"/>
                <w:szCs w:val="24"/>
              </w:rPr>
              <w:t>Комендар В. І.</w:t>
            </w:r>
            <w:r w:rsidRPr="000B5C9B">
              <w:rPr>
                <w:rFonts w:ascii="Times New Roman" w:hAnsi="Times New Roman"/>
                <w:sz w:val="24"/>
                <w:szCs w:val="24"/>
              </w:rPr>
              <w:t xml:space="preserve"> Лікарські рослини Закарпатської області. – Ужгород, 1961. – 245 с</w:t>
            </w:r>
          </w:p>
          <w:p w:rsidR="003D470F" w:rsidRPr="000B5C9B" w:rsidRDefault="003D470F" w:rsidP="003D4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23" w:rsidRPr="000B5C9B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29B6" w:rsidRPr="000B5C9B" w:rsidRDefault="00DC29B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C29B6" w:rsidRPr="000B5C9B" w:rsidSect="00526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EE" w:rsidRDefault="00DB70EE" w:rsidP="0005502E">
      <w:pPr>
        <w:spacing w:after="0" w:line="240" w:lineRule="auto"/>
      </w:pPr>
      <w:r>
        <w:separator/>
      </w:r>
    </w:p>
  </w:endnote>
  <w:endnote w:type="continuationSeparator" w:id="0">
    <w:p w:rsidR="00DB70EE" w:rsidRDefault="00DB70EE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EE" w:rsidRDefault="00DB70EE" w:rsidP="0005502E">
      <w:pPr>
        <w:spacing w:after="0" w:line="240" w:lineRule="auto"/>
      </w:pPr>
      <w:r>
        <w:separator/>
      </w:r>
    </w:p>
  </w:footnote>
  <w:footnote w:type="continuationSeparator" w:id="0">
    <w:p w:rsidR="00DB70EE" w:rsidRDefault="00DB70EE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8F4"/>
    <w:multiLevelType w:val="hybridMultilevel"/>
    <w:tmpl w:val="D9DEA4AC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B94E1A"/>
    <w:multiLevelType w:val="hybridMultilevel"/>
    <w:tmpl w:val="1D767FBC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CA9"/>
    <w:multiLevelType w:val="hybridMultilevel"/>
    <w:tmpl w:val="511E7D24"/>
    <w:lvl w:ilvl="0" w:tplc="DA905A5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D941A3"/>
    <w:multiLevelType w:val="hybridMultilevel"/>
    <w:tmpl w:val="8E4EBD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566B8"/>
    <w:multiLevelType w:val="hybridMultilevel"/>
    <w:tmpl w:val="BA00051C"/>
    <w:lvl w:ilvl="0" w:tplc="FE28F02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D23"/>
    <w:rsid w:val="00032B36"/>
    <w:rsid w:val="0005502E"/>
    <w:rsid w:val="000B5C9B"/>
    <w:rsid w:val="000E504B"/>
    <w:rsid w:val="001425FD"/>
    <w:rsid w:val="0028088A"/>
    <w:rsid w:val="00295510"/>
    <w:rsid w:val="002C40AD"/>
    <w:rsid w:val="002F1AD2"/>
    <w:rsid w:val="00392D23"/>
    <w:rsid w:val="003C4985"/>
    <w:rsid w:val="003D470F"/>
    <w:rsid w:val="00402BCE"/>
    <w:rsid w:val="0041052C"/>
    <w:rsid w:val="004B7818"/>
    <w:rsid w:val="004D2755"/>
    <w:rsid w:val="004E2C2F"/>
    <w:rsid w:val="00526D7D"/>
    <w:rsid w:val="00586DFA"/>
    <w:rsid w:val="005C519A"/>
    <w:rsid w:val="005F5C2C"/>
    <w:rsid w:val="006342C1"/>
    <w:rsid w:val="006618B7"/>
    <w:rsid w:val="00700829"/>
    <w:rsid w:val="00705681"/>
    <w:rsid w:val="00755C96"/>
    <w:rsid w:val="007B1F80"/>
    <w:rsid w:val="007C5FE3"/>
    <w:rsid w:val="007E3FBF"/>
    <w:rsid w:val="008406F8"/>
    <w:rsid w:val="0086415B"/>
    <w:rsid w:val="008842E1"/>
    <w:rsid w:val="008A059F"/>
    <w:rsid w:val="008A1B3F"/>
    <w:rsid w:val="008B5A5C"/>
    <w:rsid w:val="008B5B21"/>
    <w:rsid w:val="008E5AB7"/>
    <w:rsid w:val="008F1408"/>
    <w:rsid w:val="00905637"/>
    <w:rsid w:val="00911E53"/>
    <w:rsid w:val="00994568"/>
    <w:rsid w:val="009E0950"/>
    <w:rsid w:val="00A01CF0"/>
    <w:rsid w:val="00A25714"/>
    <w:rsid w:val="00A26453"/>
    <w:rsid w:val="00A434B2"/>
    <w:rsid w:val="00A72D68"/>
    <w:rsid w:val="00A82AA5"/>
    <w:rsid w:val="00AC4C79"/>
    <w:rsid w:val="00B30933"/>
    <w:rsid w:val="00B43B5D"/>
    <w:rsid w:val="00B46DB5"/>
    <w:rsid w:val="00B64A4D"/>
    <w:rsid w:val="00B66860"/>
    <w:rsid w:val="00C301DC"/>
    <w:rsid w:val="00C62114"/>
    <w:rsid w:val="00C66805"/>
    <w:rsid w:val="00C94731"/>
    <w:rsid w:val="00CD59CD"/>
    <w:rsid w:val="00D32C63"/>
    <w:rsid w:val="00DA3F3F"/>
    <w:rsid w:val="00DB70EE"/>
    <w:rsid w:val="00DC29B6"/>
    <w:rsid w:val="00DD0CB0"/>
    <w:rsid w:val="00E2010A"/>
    <w:rsid w:val="00E237EC"/>
    <w:rsid w:val="00E41F89"/>
    <w:rsid w:val="00E47EA8"/>
    <w:rsid w:val="00E827FD"/>
    <w:rsid w:val="00E93013"/>
    <w:rsid w:val="00ED65E5"/>
    <w:rsid w:val="00F97CF8"/>
    <w:rsid w:val="00FA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6BE2"/>
  <w15:docId w15:val="{7187F8F4-F838-4907-86B6-1943968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2A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customStyle="1" w:styleId="a">
    <w:name w:val="Б_основ. текст"/>
    <w:basedOn w:val="Szvegtrzsbehzssal"/>
    <w:link w:val="a0"/>
    <w:rsid w:val="004D2755"/>
    <w:pPr>
      <w:spacing w:after="0" w:line="264" w:lineRule="auto"/>
      <w:ind w:left="0" w:firstLine="709"/>
      <w:jc w:val="both"/>
    </w:pPr>
    <w:rPr>
      <w:rFonts w:ascii="Arial Narrow" w:eastAsia="Times New Roman" w:hAnsi="Arial Narrow" w:cs="Times New Roman"/>
      <w:sz w:val="25"/>
      <w:szCs w:val="27"/>
      <w:lang w:val="uk-UA" w:eastAsia="ru-RU"/>
    </w:rPr>
  </w:style>
  <w:style w:type="character" w:customStyle="1" w:styleId="a0">
    <w:name w:val="Б_основ. текст Знак"/>
    <w:basedOn w:val="Bekezdsalapbettpusa"/>
    <w:link w:val="a"/>
    <w:rsid w:val="004D2755"/>
    <w:rPr>
      <w:rFonts w:ascii="Arial Narrow" w:eastAsia="Times New Roman" w:hAnsi="Arial Narrow" w:cs="Times New Roman"/>
      <w:sz w:val="25"/>
      <w:szCs w:val="27"/>
      <w:lang w:val="uk-UA" w:eastAsia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D27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D2755"/>
  </w:style>
  <w:style w:type="paragraph" w:styleId="Listaszerbekezds">
    <w:name w:val="List Paragraph"/>
    <w:basedOn w:val="Norml"/>
    <w:uiPriority w:val="34"/>
    <w:qFormat/>
    <w:rsid w:val="00FA388A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7C5FE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C5FE3"/>
  </w:style>
  <w:style w:type="paragraph" w:customStyle="1" w:styleId="a1">
    <w:name w:val="Б_література"/>
    <w:basedOn w:val="a"/>
    <w:rsid w:val="000B5C9B"/>
    <w:pPr>
      <w:spacing w:after="60"/>
      <w:ind w:left="828" w:hanging="544"/>
    </w:pPr>
    <w:rPr>
      <w:sz w:val="23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ECDE-373C-4A37-8C01-5295463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1208</Words>
  <Characters>8337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6</cp:revision>
  <dcterms:created xsi:type="dcterms:W3CDTF">2022-11-07T18:56:00Z</dcterms:created>
  <dcterms:modified xsi:type="dcterms:W3CDTF">2022-11-08T07:19:00Z</dcterms:modified>
</cp:coreProperties>
</file>