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396E63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396E63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6E63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396E63" w:rsidTr="00396E63">
        <w:trPr>
          <w:trHeight w:val="1453"/>
        </w:trPr>
        <w:tc>
          <w:tcPr>
            <w:tcW w:w="1819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26453" w:rsidRPr="00396E63" w:rsidRDefault="00396E6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A26453" w:rsidRPr="00396E63" w:rsidRDefault="00396E6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A26453" w:rsidRDefault="00246809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  <w:p w:rsidR="00246809" w:rsidRPr="00246809" w:rsidRDefault="005B1B44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24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468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</w:tbl>
    <w:p w:rsidR="00526D7D" w:rsidRPr="00396E63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396E63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396E63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2662"/>
        <w:gridCol w:w="7256"/>
      </w:tblGrid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392D23" w:rsidRPr="00396E63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396E63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256" w:type="dxa"/>
          </w:tcPr>
          <w:p w:rsidR="00392D23" w:rsidRPr="006833C5" w:rsidRDefault="005B1B44" w:rsidP="006833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природи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256" w:type="dxa"/>
          </w:tcPr>
          <w:p w:rsidR="00392D23" w:rsidRPr="00396E63" w:rsidRDefault="00BA1DB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біології та хімії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7256" w:type="dxa"/>
          </w:tcPr>
          <w:p w:rsidR="00392D23" w:rsidRPr="00396E63" w:rsidRDefault="00BA1DB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 Середня 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(</w:t>
            </w:r>
            <w:r w:rsidR="006833C5" w:rsidRPr="006833C5">
              <w:rPr>
                <w:rFonts w:ascii="Times New Roman" w:hAnsi="Times New Roman" w:cs="Times New Roman"/>
                <w:sz w:val="24"/>
                <w:lang w:val="uk-UA"/>
              </w:rPr>
              <w:t>Біологія та здоров</w:t>
            </w:r>
            <w:r w:rsidR="006833C5" w:rsidRPr="006833C5">
              <w:rPr>
                <w:rFonts w:ascii="Times New Roman" w:hAnsi="Times New Roman" w:cs="Times New Roman"/>
                <w:sz w:val="24"/>
              </w:rPr>
              <w:t>’</w:t>
            </w:r>
            <w:r w:rsidR="006833C5" w:rsidRPr="006833C5">
              <w:rPr>
                <w:rFonts w:ascii="Times New Roman" w:hAnsi="Times New Roman" w:cs="Times New Roman"/>
                <w:sz w:val="24"/>
                <w:lang w:val="uk-UA"/>
              </w:rPr>
              <w:t>я людини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E47EA8" w:rsidRPr="00396E63" w:rsidRDefault="00E237EC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7256" w:type="dxa"/>
          </w:tcPr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396E63" w:rsidRDefault="00E237EC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F54378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  <w:p w:rsidR="007E3FBF" w:rsidRPr="00C0201C" w:rsidRDefault="007E3FBF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4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84A63">
              <w:rPr>
                <w:rFonts w:ascii="Times New Roman" w:hAnsi="Times New Roman" w:cs="Times New Roman"/>
                <w:sz w:val="24"/>
                <w:szCs w:val="24"/>
              </w:rPr>
              <w:t>/120</w:t>
            </w:r>
          </w:p>
          <w:p w:rsidR="00705681" w:rsidRPr="00C0201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4A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---</w:t>
            </w:r>
          </w:p>
          <w:p w:rsidR="00705681" w:rsidRPr="00C0201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4A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E47EA8" w:rsidRPr="00396E63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7256" w:type="dxa"/>
          </w:tcPr>
          <w:p w:rsidR="00392D23" w:rsidRPr="00396E63" w:rsidRDefault="00276C42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Гаднадь Іштван Іштванович, доктор філософії з природничих наук, доцент кафедри біології та хімії</w:t>
            </w:r>
          </w:p>
          <w:p w:rsidR="00276C42" w:rsidRPr="00396E63" w:rsidRDefault="001554DB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6C42" w:rsidRPr="00396E6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hadnagy.istvan@kmf.uz.ua</w:t>
              </w:r>
            </w:hyperlink>
          </w:p>
          <w:p w:rsidR="00276C42" w:rsidRPr="00396E63" w:rsidRDefault="00276C4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7B1F80" w:rsidRPr="00396E63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7256" w:type="dxa"/>
          </w:tcPr>
          <w:p w:rsidR="00392D23" w:rsidRPr="006833C5" w:rsidRDefault="006833C5" w:rsidP="000F572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З метою успішного оволодіння матеріалом навчального курсу «</w:t>
            </w:r>
            <w:r w:rsidR="00C0201C" w:rsidRPr="00C0201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Охорона </w:t>
            </w:r>
            <w:r w:rsidR="000F572C">
              <w:rPr>
                <w:rFonts w:ascii="Times New Roman" w:eastAsia="Calibri" w:hAnsi="Times New Roman" w:cs="Times New Roman"/>
                <w:sz w:val="24"/>
                <w:lang w:val="uk-UA"/>
              </w:rPr>
              <w:t>природи</w:t>
            </w: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» студент повинен мати ґрунтовні знання з</w:t>
            </w:r>
            <w:r w:rsidRPr="006833C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таких предметів: </w:t>
            </w:r>
            <w:r w:rsidR="00C0201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екологія, </w:t>
            </w: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георафія, </w:t>
            </w:r>
            <w:r w:rsidR="00C0201C"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біологія</w:t>
            </w:r>
            <w:r w:rsidR="00C0201C">
              <w:rPr>
                <w:rFonts w:ascii="Times New Roman" w:eastAsia="Calibri" w:hAnsi="Times New Roman" w:cs="Times New Roman"/>
                <w:sz w:val="24"/>
                <w:lang w:val="uk-UA"/>
              </w:rPr>
              <w:t>,</w:t>
            </w:r>
            <w:r w:rsidR="00C0201C"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хімія та ін.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7B1F80" w:rsidRPr="00396E63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7256" w:type="dxa"/>
          </w:tcPr>
          <w:p w:rsidR="00C0201C" w:rsidRPr="00C0201C" w:rsidRDefault="00B84A63" w:rsidP="00C0201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4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Метою </w:t>
            </w:r>
            <w:r w:rsidRPr="00B84A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навчальної дисципліни «Охорона природи» є формування систему знань про основні закономірності взаємодії людини, суспільства і природи; особливості впливу антропогенних факторів на природне середовище; оволодіння теоретичними основами охорони природи та практичними навичками раціонального природокористування, збереження і відтворення природних ресурсів; розуміти теоретичні основи особливості функціонування природно-заповідного фонду України.</w:t>
            </w:r>
          </w:p>
          <w:p w:rsidR="00DB13EC" w:rsidRDefault="00DB13EC" w:rsidP="00DB1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33C5" w:rsidRPr="006833C5" w:rsidRDefault="006833C5" w:rsidP="00DB1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розвитку охорони природи та заповідної  справи у світі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 передумови виникнення охорони природи. Етапи розвитку охорони природи. Напрями розвитку охорони природи. Сучасна структура охорони природи. Екологічні основи охорони природи.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розвитку охорони природи та заповідної  справи в Україні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Класифікація об’єктів природно-заповідного фонду України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заповідники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Біосферні заповідники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Природно-заповідні об'єкти природно-паркового типу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Екомережа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Перспективи розвитку екологічної мережі в Україні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територій та об'єктів природно-заповідного фонду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територій природно-заповідного фонду</w:t>
            </w:r>
          </w:p>
          <w:p w:rsidR="00315EB1" w:rsidRDefault="00315EB1" w:rsidP="00315EB1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Наукова основа функціонування територій та об'єктів ПЗФ</w:t>
            </w:r>
          </w:p>
          <w:p w:rsidR="006833C5" w:rsidRPr="006833C5" w:rsidRDefault="006833C5" w:rsidP="006833C5">
            <w:pPr>
              <w:pStyle w:val="Listaszerbekezds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 та практичні заняття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Бернська конвенція.  Конвенція про охорону дикої флори і фауни та природних середовищ існування в Європі  (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Convention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on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Conservation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European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Wildlife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Natural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Habitats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Конвенція про збереження мігруючих видів диких тварин (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Convention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on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Conservation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Migratory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Species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Wild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Animals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CMS) або Боннська конвенція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Рамсарська конвенція про водно-болотні угіддя, що мають міжнародне значення, головним чином як середовища існування водоплавних птахів (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Convention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on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Wetlands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Importance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especially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as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Waterfowl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Habitat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15EB1" w:rsidRDefault="00315EB1" w:rsidP="00315EB1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Міжнародний союз охорони природи (МСОП;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Union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Conservation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Nature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IUCN)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Карпатського біосферного заповідника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Синевирського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національного парку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Ужанського національного парку</w:t>
            </w:r>
          </w:p>
          <w:p w:rsidR="00315EB1" w:rsidRPr="00315EB1" w:rsidRDefault="00315EB1" w:rsidP="00315EB1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національного парку «Зачарований край</w:t>
            </w:r>
            <w:r w:rsidR="002A33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15EB1" w:rsidRDefault="00315EB1" w:rsidP="00315EB1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Притисянського</w:t>
            </w:r>
            <w:proofErr w:type="spellEnd"/>
            <w:r w:rsidRPr="00315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ландшафтного парку</w:t>
            </w:r>
          </w:p>
          <w:p w:rsidR="00340BA7" w:rsidRPr="006833C5" w:rsidRDefault="00340BA7" w:rsidP="00315EB1">
            <w:pPr>
              <w:pStyle w:val="Listaszerbekezds"/>
              <w:ind w:left="6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результаті вивчення</w:t>
            </w:r>
            <w:r w:rsidR="004D6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навчальної дисципліни «</w:t>
            </w:r>
            <w:r w:rsidR="00657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Охорона </w:t>
            </w:r>
            <w:r w:rsidR="000F5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природи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у студента мають бути сформовані такі компетентності: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Інтегральна компетентність (ІК). Здатність розв’язувати складні спеціалізовані практичні завдання в галузі середньої освіти, природничих, фізичних, хімічних, біологічних і педагогічних наук, що передбачає застосування теорій та методів освітніх та природничих наук, проведення досліджень та здійснення інновацій. Характеризується комплексністю мінливістю педагогічних умов організації освітнього процесу в основній (базовій середній) школі.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96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1. Загальні системні компетентності:</w:t>
            </w:r>
          </w:p>
          <w:p w:rsidR="000F572C" w:rsidRPr="000F572C" w:rsidRDefault="000F572C" w:rsidP="000F572C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0F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здатність до абстрактного мислення, аналізу та синтезу.</w:t>
            </w:r>
          </w:p>
          <w:p w:rsidR="000F572C" w:rsidRPr="000F572C" w:rsidRDefault="000F572C" w:rsidP="000F572C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0F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знання і критичне розуміння предметної області та професійної діяльності;</w:t>
            </w:r>
          </w:p>
          <w:p w:rsidR="000F572C" w:rsidRPr="000F572C" w:rsidRDefault="000F572C" w:rsidP="000F572C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0F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прагнення до збереження навколишнього середовища та забезпечення сталого розвитку суспільства;</w:t>
            </w:r>
          </w:p>
          <w:p w:rsidR="000F572C" w:rsidRDefault="000F572C" w:rsidP="000F572C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0F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Україні;</w:t>
            </w:r>
          </w:p>
          <w:p w:rsidR="00963736" w:rsidRPr="00963736" w:rsidRDefault="00963736" w:rsidP="000F572C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96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Спеціальні (фахові) компетентності (СК)</w:t>
            </w:r>
          </w:p>
          <w:p w:rsidR="000F572C" w:rsidRPr="000F572C" w:rsidRDefault="000F572C" w:rsidP="000F572C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7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CК - здатність обґрунтовувати необхідність та розробляти заходи, спрямовані на збереження </w:t>
            </w:r>
            <w:proofErr w:type="spellStart"/>
            <w:r w:rsidRPr="000F57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ландшафтно</w:t>
            </w:r>
            <w:proofErr w:type="spellEnd"/>
            <w:r w:rsidRPr="000F57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-біологічного різноманіття та формування екологічної мережі;</w:t>
            </w:r>
          </w:p>
          <w:p w:rsidR="000F572C" w:rsidRPr="000F572C" w:rsidRDefault="000F572C" w:rsidP="000F572C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7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CК - здатність до участі в управлінні природоохоронними діями та/або екологічними проектами;</w:t>
            </w:r>
          </w:p>
          <w:p w:rsidR="000F572C" w:rsidRPr="000F572C" w:rsidRDefault="000F572C" w:rsidP="000F572C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7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CК - здатність проводити оцінку впливу планованої господарської діяльності на навколишнє середовище;</w:t>
            </w:r>
          </w:p>
          <w:p w:rsidR="000F572C" w:rsidRDefault="000F572C" w:rsidP="000F572C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57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CК - здатність проводити стратегічну оцінку для забезпечення високого рівня захисту навколишнього середовища та сприяння інтеграції екологічних міркувань до підготовки та прийняття планів і програм з метою сприяння сталому </w:t>
            </w:r>
            <w:proofErr w:type="spellStart"/>
            <w:r w:rsidRPr="000F57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розвитку.</w:t>
            </w:r>
            <w:proofErr w:type="spellEnd"/>
          </w:p>
          <w:p w:rsidR="00963736" w:rsidRPr="00963736" w:rsidRDefault="00963736" w:rsidP="000F572C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дисципліни «</w:t>
            </w:r>
            <w:r w:rsidR="000F57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Охорона природи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забезпечує досягнення таких </w:t>
            </w:r>
            <w:r w:rsidRPr="00963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програмних результатів навчання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0F572C" w:rsidRPr="000F572C" w:rsidRDefault="000F572C" w:rsidP="000F572C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57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розв’язувати проблеми у сфері охорони природи із застосуванням загальноприйнятих та/або стандартних підходів та міжнародного і вітчизняного досвіду;</w:t>
            </w:r>
          </w:p>
          <w:p w:rsidR="000F572C" w:rsidRPr="000F572C" w:rsidRDefault="000F572C" w:rsidP="000F572C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57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– демонструвати розуміння основних принципів управління природоохоронними діями та/або екологічними проектами;</w:t>
            </w:r>
          </w:p>
          <w:p w:rsidR="000F572C" w:rsidRPr="000F572C" w:rsidRDefault="000F572C" w:rsidP="000F572C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57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– усвідомлювати відповідальність за ефективність та наслідки реалізації комплексних природоохоронних заходів;</w:t>
            </w:r>
          </w:p>
          <w:p w:rsidR="000F572C" w:rsidRPr="000F572C" w:rsidRDefault="000F572C" w:rsidP="000F572C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57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– уміти формувати запити та визначати дії, що забезпечують виконання норм і вимог екологічного законодавства у сфері охорони природи;</w:t>
            </w:r>
          </w:p>
          <w:p w:rsidR="000F572C" w:rsidRPr="000F572C" w:rsidRDefault="000F572C" w:rsidP="000F572C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57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– брати участь у розробці проектів і практичних рекомендацій щодо збереження природних цінностей;</w:t>
            </w:r>
          </w:p>
          <w:p w:rsidR="000F572C" w:rsidRPr="000F572C" w:rsidRDefault="000F572C" w:rsidP="000F572C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57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– уміти пояснювати соціальні, економічні та політичні наслідки впровадження екологічних проектів у сфері охорони природи.</w:t>
            </w:r>
          </w:p>
          <w:p w:rsidR="000F572C" w:rsidRPr="000F572C" w:rsidRDefault="000F572C" w:rsidP="000F572C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57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– знати основні категорії природоохоронних об’єктів та орієнтуватися у заповідній справі Європи та України.</w:t>
            </w:r>
          </w:p>
          <w:p w:rsidR="00340BA7" w:rsidRPr="00FC39E4" w:rsidRDefault="000F572C" w:rsidP="000F572C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57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– вміти формувати активну громадянську позицію щодо збереження та захисту природного навколишнього середовища.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7256" w:type="dxa"/>
          </w:tcPr>
          <w:p w:rsidR="00DB13EC" w:rsidRPr="00DB13EC" w:rsidRDefault="00DB13EC" w:rsidP="00DB13E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Форми контролю та критерії оцінювання результатів навчання: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Форми поточного контролю: усні відповіді, тестування.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Форма модульного контролю: письмова робота.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Форма підсумкового семестрового контролю: </w:t>
            </w:r>
            <w:r w:rsidR="00FC3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залік</w:t>
            </w: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усній формі.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 окремих видів навчальної роботи з дисципліни</w:t>
            </w:r>
          </w:p>
          <w:p w:rsidR="00E52E3E" w:rsidRPr="00E52E3E" w:rsidRDefault="00E52E3E" w:rsidP="00E52E3E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Практичні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семінарські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proofErr w:type="spellStart"/>
            <w:r>
              <w:rPr>
                <w:sz w:val="23"/>
                <w:szCs w:val="23"/>
              </w:rPr>
              <w:t>заняття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– </w:t>
            </w: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кожне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разом</w:t>
            </w:r>
            <w:proofErr w:type="spellEnd"/>
            <w:r>
              <w:rPr>
                <w:sz w:val="23"/>
                <w:szCs w:val="23"/>
              </w:rPr>
              <w:t xml:space="preserve"> 20 </w:t>
            </w:r>
            <w:proofErr w:type="spellStart"/>
            <w:r>
              <w:rPr>
                <w:sz w:val="23"/>
                <w:szCs w:val="23"/>
              </w:rPr>
              <w:t>балів</w:t>
            </w:r>
            <w:proofErr w:type="spellEnd"/>
            <w:r>
              <w:rPr>
                <w:sz w:val="23"/>
                <w:szCs w:val="23"/>
              </w:rPr>
              <w:t>)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Модульна контрольна робота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балів)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Проектна робота</w:t>
            </w:r>
            <w:r w:rsidR="00C60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тестування, усні відповіді</w:t>
            </w: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max 10 балів.</w:t>
            </w:r>
          </w:p>
          <w:p w:rsidR="00C60ABA" w:rsidRDefault="00C60ABA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контроль:</w:t>
            </w:r>
            <w:r w:rsidR="00FC3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усній формі – 0-40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отримує допуск до </w:t>
            </w:r>
            <w:r w:rsidR="00FC3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заліку</w:t>
            </w: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якщо за результатами поточного контролю він набрав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більше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Максимальний загальний бал оцінювання складає 100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D2356" w:rsidRPr="00396E63" w:rsidRDefault="00FD2356" w:rsidP="00FD2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Шкала оцінювання: національна та ECTS</w:t>
            </w:r>
          </w:p>
          <w:tbl>
            <w:tblPr>
              <w:tblW w:w="6946" w:type="dxa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5"/>
              <w:gridCol w:w="1229"/>
              <w:gridCol w:w="1971"/>
              <w:gridCol w:w="2041"/>
            </w:tblGrid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Сума балів за всі види навчальної діяльності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Az </w:t>
                  </w:r>
                  <w:proofErr w:type="spellStart"/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összpontszám</w:t>
                  </w:r>
                  <w:proofErr w:type="spellEnd"/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az összes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tanulmányi teljesítmény alapján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Оцінка</w:t>
                  </w: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ECTS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Osztályzat az ECTS szerint</w:t>
                  </w:r>
                </w:p>
              </w:tc>
              <w:tc>
                <w:tcPr>
                  <w:tcW w:w="4252" w:type="dxa"/>
                  <w:gridSpan w:val="2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за національною шкалою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Osztályzat a nemzeti skála alapján</w:t>
                  </w: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екзамену, курсового проекту (роботи), практики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vizsga, évfolyammunka, gyakorlat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заліку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beszámoló</w:t>
                  </w: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90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100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відмінно 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jeles</w:t>
                  </w:r>
                </w:p>
              </w:tc>
              <w:tc>
                <w:tcPr>
                  <w:tcW w:w="2192" w:type="dxa"/>
                  <w:vMerge w:val="restart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зараховано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megfelelt</w:t>
                  </w:r>
                </w:p>
              </w:tc>
            </w:tr>
            <w:tr w:rsidR="00FD2356" w:rsidRPr="00396E63" w:rsidTr="00ED3492">
              <w:trPr>
                <w:trHeight w:val="186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82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89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добре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jó</w:t>
                  </w: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62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2060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задовільно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elégséges</w:t>
                  </w: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2060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1444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можливістю повторного складання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elégtelen a pótvizsga lehetőségével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можливістю повторного складання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a pótbeszámoló lehetőségével</w:t>
                  </w:r>
                </w:p>
              </w:tc>
            </w:tr>
            <w:tr w:rsidR="00FD2356" w:rsidRPr="00396E63" w:rsidTr="00ED3492">
              <w:trPr>
                <w:trHeight w:val="681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elégtelen, a tárgy újrafelvételének kötelezettségével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a tárgy újrafelvételének kötelezettségével</w:t>
                  </w:r>
                </w:p>
              </w:tc>
            </w:tr>
          </w:tbl>
          <w:p w:rsidR="00392D23" w:rsidRPr="00396E63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Інші інформації про дисципліни (п</w:t>
            </w:r>
            <w:r w:rsidR="00B46DB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2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технічн</w:t>
            </w:r>
            <w:r w:rsidR="00402BCE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програмн</w:t>
            </w:r>
            <w:r w:rsidR="00402BCE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дисципліни тощо) </w:t>
            </w:r>
          </w:p>
          <w:p w:rsidR="00B46DB5" w:rsidRPr="00396E63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</w:tcPr>
          <w:p w:rsidR="00276C42" w:rsidRPr="00340BA7" w:rsidRDefault="00276C42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занять є обов’язковим.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Пропущені за об’єктивних причин (наприклад хвороба, відрядження, тощо) заняття підлягають обов’язковому відпрацюванню згідно графіку консультацій викладача.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Обов’язковою є присутність студента на модульному та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підсумковому контролях.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Запізнення на заняття не допускаються.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мобільних пристроїв допускається лише з дозволу викладача для вирішення навчальних завдань під </w:t>
            </w:r>
            <w:r w:rsidR="000F4EDD"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виконання практичних робіт.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виконанні письмових робіт студенти зобов’язані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термінів, передбачених програмою навчального курсу.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 (60 % від можливої</w:t>
            </w:r>
            <w:r w:rsidR="000F4EDD"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максимальної кількості балів).</w:t>
            </w:r>
          </w:p>
          <w:p w:rsidR="000F4EDD" w:rsidRPr="00340BA7" w:rsidRDefault="000F4EDD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Перескладання незадовільних оцінок екзамену здійснюється відповідно до Порядку ліквідації академічної заборгованості у ЗУІ ім. Ференца Ракоці ІІ </w:t>
            </w:r>
            <w:hyperlink r:id="rId7" w:history="1">
              <w:r w:rsidR="00841330" w:rsidRPr="00340BA7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https://kmf.uz.ua/uk/infocenter/</w:t>
              </w:r>
            </w:hyperlink>
          </w:p>
          <w:p w:rsidR="00392D23" w:rsidRDefault="001D0891" w:rsidP="00392D23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ґрунтується на засадах академічної доброчесності ‒ сукупності етичних принципів та визначених законом правил, якими мають керуватися учасники освітнього процесу.</w:t>
            </w:r>
          </w:p>
          <w:p w:rsidR="00213F20" w:rsidRPr="00213F20" w:rsidRDefault="00213F20" w:rsidP="00213F20">
            <w:pPr>
              <w:shd w:val="clear" w:color="auto" w:fill="FFFFFF"/>
              <w:ind w:firstLine="3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Методичне забезпечення: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 Робоча програма дисципліни.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 Силабус дисципліни.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 Тексти лекцій та практичних робіт.</w:t>
            </w:r>
          </w:p>
          <w:p w:rsid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4. Мультимедійні презентації окремих тем навчального курсу.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Ектронне навчання у системі 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Google </w:t>
            </w:r>
            <w:proofErr w:type="spellStart"/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Classroom</w:t>
            </w:r>
            <w:proofErr w:type="spellEnd"/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Базова</w:t>
            </w:r>
            <w:r w:rsidR="00B46DB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3"/>
          </w:p>
        </w:tc>
        <w:tc>
          <w:tcPr>
            <w:tcW w:w="7256" w:type="dxa"/>
          </w:tcPr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Rakonczi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Zoltán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2002: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Természetvédelem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Szaktudás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Kiadó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Ház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Budapest</w:t>
            </w:r>
            <w:proofErr w:type="spellEnd"/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Standovár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T.,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Richard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B.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Primack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2001: A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természetvédelmi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biológia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alapjai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Nemzeti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Tankönyvkiadó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Budapest</w:t>
            </w:r>
            <w:proofErr w:type="spellEnd"/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Bodnár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László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Fodor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István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Lehmann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Antal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2006: A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környezet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és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természetvédelem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földrajzi</w:t>
            </w:r>
            <w:proofErr w:type="spellEnd"/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alapjai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NTK,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Budapest</w:t>
            </w:r>
            <w:proofErr w:type="spellEnd"/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Джигирей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В.С., 2007: Екологія та охорона навколишнього природного середовища. Знання, Київ</w:t>
            </w:r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Грицик В. Екологія довкілля. Охорона природи : навчальний посібник / В. Грицик, Ю. Канарський, Я.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Бедрій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.– Київ : Кондор, 2009.– 292 с</w:t>
            </w:r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Шматько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В.Г., Нікітін Ю.В. Екологія і організація природоохоронної діяльності.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2-ге вид. КНТ, Київ, 2008, – 304 с.</w:t>
            </w:r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Заповідна справа [Текст] :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посіб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/ О. В. Мудрак, Г. В. Мудрак ; Комун. ВНЗ "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акад.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неперерв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освіти",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аграр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ун-т. - Херсон : ОЛДІ-ПЛЮС, 2020. - 639 с. : рис., табл.</w:t>
            </w:r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Заповідна справа [Текст] :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посіб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/ О. Г. Чайка, В. І. Мокрий ;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ун-т "Львів. політехніка". - Львів : Вид-во Львів. політехніки, 2017. - 143 с.</w:t>
            </w:r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Заповідна справа в Україні: абсолютна заповідність чи європейська модель гармонії людини і природи? [Текст] :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вибр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матеріалів / [Ю. А. </w:t>
            </w:r>
            <w:bookmarkStart w:id="4" w:name="_GoBack"/>
            <w:bookmarkEnd w:id="4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Андрющенко та ін.] ; під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ред.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заслуж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природоохоронця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України М. П. Стеценка та д-ра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біол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наук, проф.,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заслуж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природоохоронця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України</w:t>
            </w:r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Ф. Д.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Гамора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;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Всеукр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громад.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"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Асоц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природоохорон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територій України", Карпат.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"Карпат.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т-во", Карпат.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біосфер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заповідник. - Львів : Тиса, 2017. - 237 с. : фот.</w:t>
            </w:r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Малишко М.І. Основи екологічного права України / М.І. Малишко. – К.: 1999. —150 с.</w:t>
            </w:r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Maxwell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S.L.,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Cazalis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V.,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Dudley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N.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et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al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Area-based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conservation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twenty-first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century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Nature</w:t>
            </w:r>
            <w:proofErr w:type="spellEnd"/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586, 217–227 (2020).</w:t>
            </w:r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Природно-заповідний фонд України</w:t>
            </w:r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http://cbr.nature.org.ua/ - Карпатський біосферний заповідник</w:t>
            </w:r>
          </w:p>
          <w:p w:rsidR="002A33AF" w:rsidRPr="002A33AF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http://file.menr.gov.ua/publ/redbook/redbook.php – Червона книга України;</w:t>
            </w:r>
          </w:p>
          <w:p w:rsidR="00392D23" w:rsidRPr="00FC39E4" w:rsidRDefault="002A33AF" w:rsidP="002A33AF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http://www.pzf.jino-net.ru/index.htm – Природно-заповідний фонд і система природних територій та об'єктів, 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 підлягають особливій охороні</w:t>
            </w:r>
          </w:p>
        </w:tc>
      </w:tr>
    </w:tbl>
    <w:p w:rsidR="00392D23" w:rsidRPr="00396E63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396E63" w:rsidSect="00E107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03F3"/>
    <w:multiLevelType w:val="hybridMultilevel"/>
    <w:tmpl w:val="82A21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14CC"/>
    <w:multiLevelType w:val="hybridMultilevel"/>
    <w:tmpl w:val="EECA7FE8"/>
    <w:lvl w:ilvl="0" w:tplc="E0941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F591B"/>
    <w:multiLevelType w:val="hybridMultilevel"/>
    <w:tmpl w:val="61C42414"/>
    <w:lvl w:ilvl="0" w:tplc="7862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4946ED"/>
    <w:multiLevelType w:val="hybridMultilevel"/>
    <w:tmpl w:val="6FA469AA"/>
    <w:lvl w:ilvl="0" w:tplc="040E000F">
      <w:start w:val="1"/>
      <w:numFmt w:val="decimal"/>
      <w:lvlText w:val="%1."/>
      <w:lvlJc w:val="left"/>
      <w:pPr>
        <w:ind w:left="781" w:hanging="360"/>
      </w:pPr>
    </w:lvl>
    <w:lvl w:ilvl="1" w:tplc="040E0019" w:tentative="1">
      <w:start w:val="1"/>
      <w:numFmt w:val="lowerLetter"/>
      <w:lvlText w:val="%2."/>
      <w:lvlJc w:val="left"/>
      <w:pPr>
        <w:ind w:left="1501" w:hanging="360"/>
      </w:pPr>
    </w:lvl>
    <w:lvl w:ilvl="2" w:tplc="040E001B" w:tentative="1">
      <w:start w:val="1"/>
      <w:numFmt w:val="lowerRoman"/>
      <w:lvlText w:val="%3."/>
      <w:lvlJc w:val="right"/>
      <w:pPr>
        <w:ind w:left="2221" w:hanging="180"/>
      </w:pPr>
    </w:lvl>
    <w:lvl w:ilvl="3" w:tplc="040E000F" w:tentative="1">
      <w:start w:val="1"/>
      <w:numFmt w:val="decimal"/>
      <w:lvlText w:val="%4."/>
      <w:lvlJc w:val="left"/>
      <w:pPr>
        <w:ind w:left="2941" w:hanging="360"/>
      </w:pPr>
    </w:lvl>
    <w:lvl w:ilvl="4" w:tplc="040E0019" w:tentative="1">
      <w:start w:val="1"/>
      <w:numFmt w:val="lowerLetter"/>
      <w:lvlText w:val="%5."/>
      <w:lvlJc w:val="left"/>
      <w:pPr>
        <w:ind w:left="3661" w:hanging="360"/>
      </w:pPr>
    </w:lvl>
    <w:lvl w:ilvl="5" w:tplc="040E001B" w:tentative="1">
      <w:start w:val="1"/>
      <w:numFmt w:val="lowerRoman"/>
      <w:lvlText w:val="%6."/>
      <w:lvlJc w:val="right"/>
      <w:pPr>
        <w:ind w:left="4381" w:hanging="180"/>
      </w:pPr>
    </w:lvl>
    <w:lvl w:ilvl="6" w:tplc="040E000F" w:tentative="1">
      <w:start w:val="1"/>
      <w:numFmt w:val="decimal"/>
      <w:lvlText w:val="%7."/>
      <w:lvlJc w:val="left"/>
      <w:pPr>
        <w:ind w:left="5101" w:hanging="360"/>
      </w:pPr>
    </w:lvl>
    <w:lvl w:ilvl="7" w:tplc="040E0019" w:tentative="1">
      <w:start w:val="1"/>
      <w:numFmt w:val="lowerLetter"/>
      <w:lvlText w:val="%8."/>
      <w:lvlJc w:val="left"/>
      <w:pPr>
        <w:ind w:left="5821" w:hanging="360"/>
      </w:pPr>
    </w:lvl>
    <w:lvl w:ilvl="8" w:tplc="040E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53996D0E"/>
    <w:multiLevelType w:val="hybridMultilevel"/>
    <w:tmpl w:val="C26E7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C5749"/>
    <w:multiLevelType w:val="hybridMultilevel"/>
    <w:tmpl w:val="A4783FF2"/>
    <w:lvl w:ilvl="0" w:tplc="547ED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E0F5B"/>
    <w:multiLevelType w:val="hybridMultilevel"/>
    <w:tmpl w:val="758C1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24C7B"/>
    <w:multiLevelType w:val="hybridMultilevel"/>
    <w:tmpl w:val="AB86A004"/>
    <w:lvl w:ilvl="0" w:tplc="465E0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7DF2"/>
    <w:multiLevelType w:val="hybridMultilevel"/>
    <w:tmpl w:val="F4366322"/>
    <w:lvl w:ilvl="0" w:tplc="040E000F">
      <w:start w:val="1"/>
      <w:numFmt w:val="decimal"/>
      <w:lvlText w:val="%1."/>
      <w:lvlJc w:val="left"/>
      <w:pPr>
        <w:ind w:left="784" w:hanging="360"/>
      </w:p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67DA61F7"/>
    <w:multiLevelType w:val="hybridMultilevel"/>
    <w:tmpl w:val="061245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32B36"/>
    <w:rsid w:val="000F4EDD"/>
    <w:rsid w:val="000F572C"/>
    <w:rsid w:val="001425FD"/>
    <w:rsid w:val="001554DB"/>
    <w:rsid w:val="001D0891"/>
    <w:rsid w:val="00213F20"/>
    <w:rsid w:val="00246809"/>
    <w:rsid w:val="00276C42"/>
    <w:rsid w:val="0028088A"/>
    <w:rsid w:val="00295510"/>
    <w:rsid w:val="00297A57"/>
    <w:rsid w:val="002A33AF"/>
    <w:rsid w:val="002C40AD"/>
    <w:rsid w:val="00315EB1"/>
    <w:rsid w:val="00336450"/>
    <w:rsid w:val="00340BA7"/>
    <w:rsid w:val="00392D23"/>
    <w:rsid w:val="00396E63"/>
    <w:rsid w:val="003C4985"/>
    <w:rsid w:val="00402BCE"/>
    <w:rsid w:val="004A2F33"/>
    <w:rsid w:val="004B7818"/>
    <w:rsid w:val="004D6F67"/>
    <w:rsid w:val="004E2C2F"/>
    <w:rsid w:val="00526D7D"/>
    <w:rsid w:val="005B1B44"/>
    <w:rsid w:val="00601697"/>
    <w:rsid w:val="00620C2C"/>
    <w:rsid w:val="00657700"/>
    <w:rsid w:val="006618B7"/>
    <w:rsid w:val="0066216F"/>
    <w:rsid w:val="006833C5"/>
    <w:rsid w:val="00705681"/>
    <w:rsid w:val="007B1F80"/>
    <w:rsid w:val="007E3FBF"/>
    <w:rsid w:val="007F7F2A"/>
    <w:rsid w:val="00841330"/>
    <w:rsid w:val="008842E1"/>
    <w:rsid w:val="008A059F"/>
    <w:rsid w:val="008F1408"/>
    <w:rsid w:val="00963736"/>
    <w:rsid w:val="00994568"/>
    <w:rsid w:val="00A26453"/>
    <w:rsid w:val="00A434B2"/>
    <w:rsid w:val="00AB4469"/>
    <w:rsid w:val="00B30933"/>
    <w:rsid w:val="00B46DB5"/>
    <w:rsid w:val="00B64A4D"/>
    <w:rsid w:val="00B84A63"/>
    <w:rsid w:val="00BA1DB7"/>
    <w:rsid w:val="00BB08ED"/>
    <w:rsid w:val="00BC1FA3"/>
    <w:rsid w:val="00C0201C"/>
    <w:rsid w:val="00C60ABA"/>
    <w:rsid w:val="00D4320E"/>
    <w:rsid w:val="00D84F12"/>
    <w:rsid w:val="00DA3F3F"/>
    <w:rsid w:val="00DB13EC"/>
    <w:rsid w:val="00DE163A"/>
    <w:rsid w:val="00E10716"/>
    <w:rsid w:val="00E237EC"/>
    <w:rsid w:val="00E41F89"/>
    <w:rsid w:val="00E47EA8"/>
    <w:rsid w:val="00E52E3E"/>
    <w:rsid w:val="00E638AF"/>
    <w:rsid w:val="00E663C7"/>
    <w:rsid w:val="00E93013"/>
    <w:rsid w:val="00EE6723"/>
    <w:rsid w:val="00F54378"/>
    <w:rsid w:val="00F97CF8"/>
    <w:rsid w:val="00FC39E4"/>
    <w:rsid w:val="00FD2356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0000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76C4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4EDD"/>
    <w:pPr>
      <w:ind w:left="720"/>
      <w:contextualSpacing/>
    </w:pPr>
  </w:style>
  <w:style w:type="paragraph" w:customStyle="1" w:styleId="Default">
    <w:name w:val="Default"/>
    <w:rsid w:val="00E52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ldalszm">
    <w:name w:val="page number"/>
    <w:basedOn w:val="Bekezdsalapbettpusa"/>
    <w:rsid w:val="006833C5"/>
  </w:style>
  <w:style w:type="paragraph" w:styleId="NormlWeb">
    <w:name w:val="Normal (Web)"/>
    <w:basedOn w:val="Norml"/>
    <w:uiPriority w:val="99"/>
    <w:unhideWhenUsed/>
    <w:rsid w:val="00F5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mf.uz.ua/uk/infocen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dnagy.istvan@kmf.uz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8196-6A9D-40F8-8F96-236BF87B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1438</Words>
  <Characters>9924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biotop</cp:lastModifiedBy>
  <cp:revision>8</cp:revision>
  <dcterms:created xsi:type="dcterms:W3CDTF">2022-11-07T09:49:00Z</dcterms:created>
  <dcterms:modified xsi:type="dcterms:W3CDTF">2022-11-07T10:10:00Z</dcterms:modified>
</cp:coreProperties>
</file>