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626CDC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626CDC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6CDC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731"/>
        <w:gridCol w:w="1352"/>
        <w:gridCol w:w="1622"/>
        <w:gridCol w:w="1624"/>
        <w:gridCol w:w="1795"/>
        <w:gridCol w:w="1765"/>
      </w:tblGrid>
      <w:tr w:rsidR="00A26453" w:rsidRPr="00626CDC" w:rsidTr="00F938EF">
        <w:trPr>
          <w:trHeight w:val="1453"/>
        </w:trPr>
        <w:tc>
          <w:tcPr>
            <w:tcW w:w="1819" w:type="dxa"/>
            <w:vAlign w:val="center"/>
          </w:tcPr>
          <w:p w:rsidR="00A26453" w:rsidRPr="00626CDC" w:rsidRDefault="00A2645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626CDC" w:rsidRDefault="00A2645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626CDC" w:rsidRDefault="00286FEB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626CDC" w:rsidRDefault="00A2645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AC5A63" w:rsidRDefault="00D43185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інституційна</w:t>
            </w:r>
          </w:p>
        </w:tc>
        <w:tc>
          <w:tcPr>
            <w:tcW w:w="1824" w:type="dxa"/>
            <w:vAlign w:val="center"/>
          </w:tcPr>
          <w:p w:rsidR="00A26453" w:rsidRPr="00626CDC" w:rsidRDefault="00A2645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838" w:type="dxa"/>
            <w:vAlign w:val="center"/>
          </w:tcPr>
          <w:p w:rsidR="00286FEB" w:rsidRPr="00626CDC" w:rsidRDefault="00AC5A6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C2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2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/202</w:t>
            </w:r>
            <w:r w:rsidR="00AC2C61" w:rsidRPr="00AC2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AC2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</w:t>
            </w:r>
            <w:r w:rsidR="00286FEB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26453" w:rsidRPr="00626CDC" w:rsidRDefault="00AC5A63" w:rsidP="00286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86FEB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</w:tbl>
    <w:p w:rsidR="00526D7D" w:rsidRPr="00626CD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626CDC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626CDC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626CD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626CD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626CDC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6FEB" w:rsidRPr="00626CDC" w:rsidRDefault="0045091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proofErr w:type="spellEnd"/>
          </w:p>
        </w:tc>
      </w:tr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626CD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626CDC" w:rsidRDefault="00286FE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 та інформатики</w:t>
            </w:r>
          </w:p>
        </w:tc>
      </w:tr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626CD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392D23" w:rsidRPr="00626CDC" w:rsidRDefault="00AC5A6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5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(Математика)</w:t>
            </w:r>
          </w:p>
        </w:tc>
      </w:tr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626CDC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626CD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626CDC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8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EB"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="00286FEB" w:rsidRPr="00626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286FEB"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FBF" w:rsidRPr="00695D44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5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705681" w:rsidRPr="00AC2C6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5681" w:rsidRPr="00AC2C6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C2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681" w:rsidRPr="00626CD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FEB" w:rsidRPr="00626C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681" w:rsidRPr="003B497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B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05681" w:rsidRPr="00626CD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626CDC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626CDC" w:rsidRDefault="00626CD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CDC" w:rsidRDefault="00626CD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CDC" w:rsidRDefault="00626CD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2D23" w:rsidRPr="00626CDC" w:rsidRDefault="000D1BE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Поллої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Федорович, старший викладач.</w:t>
            </w:r>
          </w:p>
        </w:tc>
      </w:tr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626CD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</w:tcPr>
          <w:p w:rsidR="00626CDC" w:rsidRDefault="00626CD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2D23" w:rsidRPr="00626CDC" w:rsidRDefault="003B497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курс математики</w:t>
            </w:r>
          </w:p>
        </w:tc>
      </w:tr>
    </w:tbl>
    <w:p w:rsidR="008008C4" w:rsidRDefault="008008C4">
      <w:r>
        <w:br w:type="page"/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626CD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626CD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Анотація дисципліни</w:t>
            </w:r>
            <w:r w:rsidR="003C4985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626CDC" w:rsidRDefault="00CC2777" w:rsidP="00CC2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92D23" w:rsidRPr="0045091B" w:rsidRDefault="0045091B" w:rsidP="0057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розроблено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чином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обов’язкові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курсі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концепцій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потрібні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0D1BE4" w:rsidRPr="0045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E4E" w:rsidRPr="000D1BE4" w:rsidRDefault="00067E4E" w:rsidP="005746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2777" w:rsidRPr="00626CDC" w:rsidRDefault="0045091B" w:rsidP="0057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91B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» є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належну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базову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математичну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сформувати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різноманітних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91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t>.</w:t>
            </w:r>
          </w:p>
          <w:p w:rsidR="00652801" w:rsidRPr="00626CDC" w:rsidRDefault="00652801" w:rsidP="00574622">
            <w:pPr>
              <w:jc w:val="both"/>
              <w:rPr>
                <w:rStyle w:val="Bodytext2Exact"/>
                <w:rFonts w:eastAsia="Arial Unicode MS"/>
                <w:sz w:val="24"/>
                <w:szCs w:val="24"/>
                <w:lang w:val="uk-UA"/>
              </w:rPr>
            </w:pPr>
          </w:p>
          <w:p w:rsidR="00626CDC" w:rsidRDefault="00652801" w:rsidP="0057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62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B2FF9" w:rsidRPr="0024797E" w:rsidRDefault="000B2FF9" w:rsidP="000B2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загальні</w:t>
            </w:r>
            <w:proofErr w:type="spellEnd"/>
            <w:r w:rsidRPr="0024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24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компетентності</w:t>
            </w:r>
            <w:proofErr w:type="spellEnd"/>
            <w:r w:rsidRPr="0024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: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А2.5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розвивати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учнів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критичного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мислення</w:t>
            </w:r>
            <w:proofErr w:type="spellEnd"/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А3.2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ефективно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використовувати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наявні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створювати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потреби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нові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елетронні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цифрові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освітні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ресурси</w:t>
            </w:r>
            <w:proofErr w:type="spellEnd"/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ЗК2.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вчитися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овлодівати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сучасними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знаннями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застосовувати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знання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у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практичних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ситуаціях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 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ЗК 11.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проведення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досліджень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відповідному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півні</w:t>
            </w:r>
            <w:proofErr w:type="spellEnd"/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ЗК 6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Навички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використання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інформаційний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комункаційних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технологій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ЗК 3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абстрактного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мислення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аналізу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синтезу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фахові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спеціальні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компетентності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ФК 10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використання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цифрових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технологій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наукових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досліджень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галузях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інформатики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математики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Фкю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17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самоосвіти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самовдосконалення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саморелізації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професійній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діяльності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конкурентної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спроможності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ринку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праці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ФК 13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Здатність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використання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математичних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методів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моделей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педагогіцію</w:t>
            </w:r>
            <w:proofErr w:type="spellEnd"/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Програмні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результати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навчання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ПР1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Розуміння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змцсту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загальних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властивостей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інформаційної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безпеки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правової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інформації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зокрема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проблем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захисту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даних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права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інтелектуальної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власності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ПР17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Застосувати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методологію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методику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цифрові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технології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наукових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досліджень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галузі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педагогіки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предметних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спеціальностях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середньої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освіти-інформатиці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математиці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ПР 16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Здійснувати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перетворення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даних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з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різних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джерел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за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допомогою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інормаційних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процесів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викорстлвувати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йифрові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технології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освітньомй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процесі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в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галузі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освіти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</w:t>
            </w:r>
            <w:proofErr w:type="spellStart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педагогіки</w:t>
            </w:r>
            <w:proofErr w:type="spellEnd"/>
            <w:r w:rsidRPr="000B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0B2FF9" w:rsidRPr="000B2FF9" w:rsidRDefault="000B2FF9" w:rsidP="000B2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6077E" w:rsidRDefault="0086077E" w:rsidP="005746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7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Структура предмету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35FA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Матриці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35FA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Визначники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квадратних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матриць,методи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обчислення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35FA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Обернена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матриця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Ранг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матриці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лінійних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рівнянь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Вектори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площині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просторі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ними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Пряма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площині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Лінії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порядку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площині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однієї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змінної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Границя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числової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послідовності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Границя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Похідні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першого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порядку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Похідні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вищих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порядків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теореми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формули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диференціального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однієї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змінної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диференціального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функцій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Невизначений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інтеграл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обчислення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Визначений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інтеграл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обчислення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багатьох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змінних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границя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неперервність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Диференціальне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числення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функцій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багатьох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змінних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Екстремум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функції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багатьох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змінних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Числові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ряди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Степеневі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ряди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AE2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Диференціальні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рівняння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першого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порядку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35FA" w:rsidRDefault="008435FA" w:rsidP="008435FA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5FA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Диференціальні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рівняння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5FA">
              <w:rPr>
                <w:rFonts w:ascii="Times New Roman" w:hAnsi="Times New Roman"/>
                <w:sz w:val="24"/>
                <w:szCs w:val="24"/>
              </w:rPr>
              <w:t>порядку</w:t>
            </w:r>
            <w:proofErr w:type="spellEnd"/>
            <w:r w:rsidRPr="00843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77E" w:rsidRPr="0086077E" w:rsidRDefault="0086077E" w:rsidP="00843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626CDC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626CDC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3620CB" w:rsidRPr="00626CDC" w:rsidRDefault="003620CB" w:rsidP="00626CDC">
            <w:pPr>
              <w:pStyle w:val="Nincstrkz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DC">
              <w:rPr>
                <w:rFonts w:ascii="Times New Roman" w:hAnsi="Times New Roman"/>
                <w:sz w:val="24"/>
                <w:szCs w:val="24"/>
              </w:rPr>
              <w:t>Для визначення рівня засвоєння студентами навчального матеріалу з навчальної дисципліни використовуються такі методи контролю знань:</w:t>
            </w:r>
          </w:p>
          <w:p w:rsidR="003620CB" w:rsidRPr="00626CDC" w:rsidRDefault="003620CB" w:rsidP="00626CDC">
            <w:pPr>
              <w:pStyle w:val="Nincstrkz"/>
              <w:numPr>
                <w:ilvl w:val="0"/>
                <w:numId w:val="1"/>
              </w:numPr>
              <w:tabs>
                <w:tab w:val="left" w:pos="1134"/>
              </w:tabs>
              <w:ind w:left="0"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DC">
              <w:rPr>
                <w:rFonts w:ascii="Times New Roman" w:hAnsi="Times New Roman"/>
                <w:sz w:val="24"/>
                <w:szCs w:val="24"/>
              </w:rPr>
              <w:t>поточний контроль (здійснюється протягом семестру під час проведення лекційних та практичних занять і оцінюється сумою набраних балів): усне опитування, самостійні, контрольні роботи, індивідуальні завдання тощо (10 балів за кожен змістовий модуль);</w:t>
            </w:r>
          </w:p>
          <w:p w:rsidR="003620CB" w:rsidRPr="00626CDC" w:rsidRDefault="003620CB" w:rsidP="00626CDC">
            <w:pPr>
              <w:pStyle w:val="Nincstrkz"/>
              <w:numPr>
                <w:ilvl w:val="0"/>
                <w:numId w:val="1"/>
              </w:numPr>
              <w:tabs>
                <w:tab w:val="left" w:pos="1134"/>
              </w:tabs>
              <w:ind w:left="0"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DC">
              <w:rPr>
                <w:rFonts w:ascii="Times New Roman" w:hAnsi="Times New Roman"/>
                <w:sz w:val="24"/>
                <w:szCs w:val="24"/>
              </w:rPr>
              <w:t>поточний модульний контроль (проводиться після вивчення кожного змістового модуля з урахуванням поточного контролю): модульна контрольна робота (20 балів за кожну модульну контрольну роботу);</w:t>
            </w:r>
          </w:p>
          <w:p w:rsidR="00392D23" w:rsidRPr="00626CDC" w:rsidRDefault="003620CB" w:rsidP="00626CDC">
            <w:pPr>
              <w:pStyle w:val="Nincstrkz"/>
              <w:numPr>
                <w:ilvl w:val="0"/>
                <w:numId w:val="1"/>
              </w:numPr>
              <w:tabs>
                <w:tab w:val="left" w:pos="1134"/>
              </w:tabs>
              <w:ind w:left="0"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CDC">
              <w:rPr>
                <w:rFonts w:ascii="Times New Roman" w:hAnsi="Times New Roman"/>
                <w:sz w:val="24"/>
                <w:szCs w:val="24"/>
              </w:rPr>
              <w:t>підсумковий контроль: іспит (40 балів).</w:t>
            </w:r>
          </w:p>
        </w:tc>
      </w:tr>
      <w:tr w:rsidR="00392D23" w:rsidRPr="00626CDC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626CDC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626CDC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626CDC" w:rsidRDefault="003620CB" w:rsidP="00166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Самостійне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поточного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потребами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застосовується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розробок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тверджень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достовірної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пропущеної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перевіряється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CDC" w:rsidRPr="00626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відпрацьовується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студентом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встановлені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Пропущені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пропуску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відпрацьовує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незадовільні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отримані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студентом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практичномузанятті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перескладаються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викладачеві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обов’язковою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відміткою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академічних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2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E4E" w:rsidRDefault="00067E4E">
      <w:bookmarkStart w:id="3" w:name="_Hlk50123811"/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626CDC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626CDC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626C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:rsidR="009E6B6C" w:rsidRPr="00166C19" w:rsidRDefault="009E6B6C" w:rsidP="009E6B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8"/>
              </w:rPr>
            </w:pPr>
            <w:proofErr w:type="spellStart"/>
            <w:r w:rsidRPr="00166C1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8"/>
              </w:rPr>
              <w:t>Базова</w:t>
            </w:r>
            <w:proofErr w:type="spellEnd"/>
            <w:r w:rsidRPr="00166C1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8"/>
              </w:rPr>
              <w:t xml:space="preserve"> </w:t>
            </w:r>
          </w:p>
          <w:p w:rsidR="003A1364" w:rsidRDefault="00EF2AE2" w:rsidP="003A1364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Тріщ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Видавничий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ЛНУ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Франка</w:t>
            </w:r>
            <w:proofErr w:type="spellEnd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. 2006. 385 с.</w:t>
            </w:r>
          </w:p>
          <w:p w:rsidR="003A1364" w:rsidRPr="00695D44" w:rsidRDefault="00EF2AE2" w:rsidP="00695D44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Вища </w:t>
            </w:r>
            <w:r w:rsidR="00067E4E" w:rsidRPr="00067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AE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Приклади і задачі. Київ. </w:t>
            </w:r>
            <w:r w:rsidR="0069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Видавничий центр «Академія», 2003. 622 с.</w:t>
            </w:r>
          </w:p>
          <w:p w:rsidR="003A1364" w:rsidRPr="00067E4E" w:rsidRDefault="003A1364" w:rsidP="003A1364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B6C" w:rsidRPr="00067E4E" w:rsidRDefault="009E6B6C" w:rsidP="009E6B6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67E4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67E4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Допоміжна</w:t>
            </w:r>
            <w:proofErr w:type="spellEnd"/>
            <w:r w:rsidRPr="00067E4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:rsidR="009E6B6C" w:rsidRPr="00E32072" w:rsidRDefault="00E32072" w:rsidP="00E32072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40"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E32072">
              <w:rPr>
                <w:bCs/>
                <w:spacing w:val="-6"/>
                <w:sz w:val="24"/>
                <w:szCs w:val="24"/>
              </w:rPr>
              <w:t>Dr</w:t>
            </w:r>
            <w:proofErr w:type="spellEnd"/>
            <w:r w:rsidRPr="00E32072">
              <w:rPr>
                <w:bCs/>
                <w:spacing w:val="-6"/>
                <w:sz w:val="24"/>
                <w:szCs w:val="24"/>
              </w:rPr>
              <w:t>. Csernyák László. Analízis. Nemzeti Tankönyvkiadó, Budapest, 1999. 287 o.</w:t>
            </w:r>
          </w:p>
          <w:p w:rsidR="00E32072" w:rsidRPr="00E32072" w:rsidRDefault="00E32072" w:rsidP="00E32072">
            <w:pPr>
              <w:pStyle w:val="Listaszerbekezds"/>
              <w:numPr>
                <w:ilvl w:val="0"/>
                <w:numId w:val="10"/>
              </w:numPr>
              <w:shd w:val="clear" w:color="auto" w:fill="FFFFFF"/>
              <w:spacing w:after="40" w:line="360" w:lineRule="auto"/>
              <w:contextualSpacing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  <w:lang w:val="hu-HU"/>
              </w:rPr>
              <w:t>Kovács József, Takács Gábor, Takács Miklós Analízis. 1986. 471 o.</w:t>
            </w:r>
            <w:bookmarkStart w:id="4" w:name="_GoBack"/>
            <w:bookmarkEnd w:id="4"/>
          </w:p>
          <w:p w:rsidR="00392D23" w:rsidRPr="00626CDC" w:rsidRDefault="00392D23" w:rsidP="00695D44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23" w:rsidRPr="00626CDC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626CDC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69E"/>
    <w:multiLevelType w:val="hybridMultilevel"/>
    <w:tmpl w:val="9A34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1835"/>
    <w:multiLevelType w:val="hybridMultilevel"/>
    <w:tmpl w:val="33B04824"/>
    <w:lvl w:ilvl="0" w:tplc="2C7A8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5F30D4"/>
    <w:multiLevelType w:val="hybridMultilevel"/>
    <w:tmpl w:val="9ED868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624A6"/>
    <w:multiLevelType w:val="hybridMultilevel"/>
    <w:tmpl w:val="5B8E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F4E8E"/>
    <w:multiLevelType w:val="hybridMultilevel"/>
    <w:tmpl w:val="BF222CC4"/>
    <w:lvl w:ilvl="0" w:tplc="BF98DA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1A75"/>
    <w:multiLevelType w:val="hybridMultilevel"/>
    <w:tmpl w:val="73224B4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81FA0"/>
    <w:multiLevelType w:val="hybridMultilevel"/>
    <w:tmpl w:val="D492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F7E54"/>
    <w:multiLevelType w:val="hybridMultilevel"/>
    <w:tmpl w:val="70EEE09A"/>
    <w:lvl w:ilvl="0" w:tplc="FB0EF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12C02"/>
    <w:multiLevelType w:val="hybridMultilevel"/>
    <w:tmpl w:val="D67E2C60"/>
    <w:lvl w:ilvl="0" w:tplc="15DAC0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EC346BA"/>
    <w:multiLevelType w:val="hybridMultilevel"/>
    <w:tmpl w:val="67A8F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67E4E"/>
    <w:rsid w:val="000B2FF9"/>
    <w:rsid w:val="000D1BE4"/>
    <w:rsid w:val="00107DDE"/>
    <w:rsid w:val="001425FD"/>
    <w:rsid w:val="00166C19"/>
    <w:rsid w:val="00172961"/>
    <w:rsid w:val="0028088A"/>
    <w:rsid w:val="00286FEB"/>
    <w:rsid w:val="00295510"/>
    <w:rsid w:val="002C40AD"/>
    <w:rsid w:val="003620CB"/>
    <w:rsid w:val="00392D23"/>
    <w:rsid w:val="003A1364"/>
    <w:rsid w:val="003A3053"/>
    <w:rsid w:val="003B497B"/>
    <w:rsid w:val="003C4985"/>
    <w:rsid w:val="003D6072"/>
    <w:rsid w:val="00402BCE"/>
    <w:rsid w:val="0045091B"/>
    <w:rsid w:val="004B7818"/>
    <w:rsid w:val="004E2C2F"/>
    <w:rsid w:val="00526D7D"/>
    <w:rsid w:val="00574622"/>
    <w:rsid w:val="00626CDC"/>
    <w:rsid w:val="00632F98"/>
    <w:rsid w:val="00652801"/>
    <w:rsid w:val="006618B7"/>
    <w:rsid w:val="00695D44"/>
    <w:rsid w:val="00705681"/>
    <w:rsid w:val="00776744"/>
    <w:rsid w:val="007B1F80"/>
    <w:rsid w:val="007E29FF"/>
    <w:rsid w:val="007E3FBF"/>
    <w:rsid w:val="008008C4"/>
    <w:rsid w:val="008435FA"/>
    <w:rsid w:val="00843D61"/>
    <w:rsid w:val="0086077E"/>
    <w:rsid w:val="008842E1"/>
    <w:rsid w:val="008A059F"/>
    <w:rsid w:val="008A22E3"/>
    <w:rsid w:val="008E50AE"/>
    <w:rsid w:val="008F1408"/>
    <w:rsid w:val="00994568"/>
    <w:rsid w:val="009E6B6C"/>
    <w:rsid w:val="009F5CDA"/>
    <w:rsid w:val="00A26453"/>
    <w:rsid w:val="00A434B2"/>
    <w:rsid w:val="00A76555"/>
    <w:rsid w:val="00A857BD"/>
    <w:rsid w:val="00AC2C61"/>
    <w:rsid w:val="00AC5A63"/>
    <w:rsid w:val="00B30933"/>
    <w:rsid w:val="00B46DB5"/>
    <w:rsid w:val="00B54ADB"/>
    <w:rsid w:val="00B64A4D"/>
    <w:rsid w:val="00B675D8"/>
    <w:rsid w:val="00C04D82"/>
    <w:rsid w:val="00C81A07"/>
    <w:rsid w:val="00CC2777"/>
    <w:rsid w:val="00D43185"/>
    <w:rsid w:val="00D43F77"/>
    <w:rsid w:val="00DA3F3F"/>
    <w:rsid w:val="00E237EC"/>
    <w:rsid w:val="00E32072"/>
    <w:rsid w:val="00E41F89"/>
    <w:rsid w:val="00E47EA8"/>
    <w:rsid w:val="00E93013"/>
    <w:rsid w:val="00EC73D4"/>
    <w:rsid w:val="00EF2AE2"/>
    <w:rsid w:val="00F938EF"/>
    <w:rsid w:val="00F97CF8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033"/>
  <w15:docId w15:val="{64E1E22C-35A2-4529-8047-44DA6E0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Bekezdsalapbettpusa"/>
    <w:link w:val="Bodytext20"/>
    <w:locked/>
    <w:rsid w:val="00A857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A857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2Exact">
    <w:name w:val="Body text (2) Exact"/>
    <w:basedOn w:val="Bekezdsalapbettpusa"/>
    <w:rsid w:val="00A857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Nincstrkz">
    <w:name w:val="No Spacing"/>
    <w:uiPriority w:val="1"/>
    <w:qFormat/>
    <w:rsid w:val="003620C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Hiperhivatkozs">
    <w:name w:val="Hyperlink"/>
    <w:uiPriority w:val="99"/>
    <w:rsid w:val="00626CD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6CDC"/>
    <w:pPr>
      <w:widowControl w:val="0"/>
      <w:autoSpaceDE w:val="0"/>
      <w:autoSpaceDN w:val="0"/>
      <w:spacing w:after="0" w:line="240" w:lineRule="auto"/>
      <w:ind w:left="250" w:firstLine="566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FontStyle39">
    <w:name w:val="Font Style39"/>
    <w:basedOn w:val="Bekezdsalapbettpusa"/>
    <w:rsid w:val="009E6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Bekezdsalapbettpusa"/>
    <w:rsid w:val="009E6B6C"/>
    <w:rPr>
      <w:rFonts w:ascii="Times New Roman" w:hAnsi="Times New Roman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8213-5F20-4A6F-98FA-5787A13C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pd</cp:lastModifiedBy>
  <cp:revision>2</cp:revision>
  <dcterms:created xsi:type="dcterms:W3CDTF">2022-11-05T10:47:00Z</dcterms:created>
  <dcterms:modified xsi:type="dcterms:W3CDTF">2022-11-05T10:47:00Z</dcterms:modified>
</cp:coreProperties>
</file>