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0452" w14:textId="77777777" w:rsidR="004E2C2F" w:rsidRPr="00826FD4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6FD4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81"/>
        <w:gridCol w:w="1877"/>
        <w:gridCol w:w="1595"/>
        <w:gridCol w:w="1270"/>
        <w:gridCol w:w="1779"/>
        <w:gridCol w:w="1370"/>
      </w:tblGrid>
      <w:tr w:rsidR="00A26453" w:rsidRPr="00826FD4" w14:paraId="25A0B491" w14:textId="77777777" w:rsidTr="00F6784F">
        <w:trPr>
          <w:trHeight w:val="811"/>
        </w:trPr>
        <w:tc>
          <w:tcPr>
            <w:tcW w:w="1681" w:type="dxa"/>
          </w:tcPr>
          <w:p w14:paraId="4281FF66" w14:textId="77777777" w:rsidR="00A26453" w:rsidRPr="00826FD4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102FC380" w14:textId="77777777" w:rsidR="00A26453" w:rsidRPr="00826FD4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14:paraId="136BB801" w14:textId="154FF2E8" w:rsidR="005B343A" w:rsidRPr="00826FD4" w:rsidRDefault="005B343A" w:rsidP="00713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595" w:type="dxa"/>
          </w:tcPr>
          <w:p w14:paraId="62F915D8" w14:textId="77777777" w:rsidR="00A26453" w:rsidRPr="00826FD4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270" w:type="dxa"/>
          </w:tcPr>
          <w:p w14:paraId="08C7F902" w14:textId="2B1383DC" w:rsidR="005B343A" w:rsidRPr="00826FD4" w:rsidRDefault="005B343A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79" w:type="dxa"/>
          </w:tcPr>
          <w:p w14:paraId="670FB7E9" w14:textId="77777777" w:rsidR="00A26453" w:rsidRPr="00826FD4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370" w:type="dxa"/>
          </w:tcPr>
          <w:p w14:paraId="610F5E47" w14:textId="7E41F1A0" w:rsidR="005B343A" w:rsidRPr="00CA5A2C" w:rsidRDefault="00C65D1D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r w:rsidR="00244EB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/</w:t>
            </w:r>
            <w:r w:rsidR="00CA5A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</w:tr>
    </w:tbl>
    <w:p w14:paraId="498E3559" w14:textId="3F041848" w:rsidR="00295510" w:rsidRPr="00826FD4" w:rsidRDefault="00F6784F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09BE">
        <w:rPr>
          <w:rFonts w:ascii="Times New Roman" w:hAnsi="Times New Roman" w:cs="Times New Roman"/>
          <w:b/>
          <w:sz w:val="24"/>
          <w:szCs w:val="24"/>
          <w:lang w:val="uk-UA"/>
        </w:rPr>
        <w:t>Силабус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826FD4" w14:paraId="70D7C5B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7B9AA34" w14:textId="77777777" w:rsidR="00392D23" w:rsidRPr="00826FD4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28C38BD2" w14:textId="789CDD5E" w:rsidR="005B343A" w:rsidRPr="00826FD4" w:rsidRDefault="00CA5A2C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Кристалохімія</w:t>
            </w:r>
          </w:p>
        </w:tc>
      </w:tr>
      <w:tr w:rsidR="00392D23" w:rsidRPr="00826FD4" w14:paraId="621172E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AAF3A2B" w14:textId="77777777" w:rsidR="00994568" w:rsidRPr="00826FD4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4F57457C" w14:textId="10A05351" w:rsidR="005B343A" w:rsidRPr="00826FD4" w:rsidRDefault="005B343A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5B343A" w:rsidRPr="00826FD4" w14:paraId="23A8D75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DF4DFF5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</w:tcPr>
          <w:p w14:paraId="7640812F" w14:textId="5B45BD4E" w:rsidR="005B343A" w:rsidRPr="00826FD4" w:rsidRDefault="00244EB4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014 </w:t>
            </w:r>
            <w:r w:rsidR="005B343A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Хімія</w:t>
            </w:r>
          </w:p>
        </w:tc>
      </w:tr>
      <w:tr w:rsidR="005B343A" w:rsidRPr="00826FD4" w14:paraId="4503072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05CB079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 (обов’язкова чи вибіркова)</w:t>
            </w:r>
          </w:p>
        </w:tc>
        <w:tc>
          <w:tcPr>
            <w:tcW w:w="6343" w:type="dxa"/>
          </w:tcPr>
          <w:p w14:paraId="6EEAE93F" w14:textId="7F867024" w:rsidR="005B343A" w:rsidRPr="00826FD4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</w:tc>
      </w:tr>
      <w:tr w:rsidR="005B343A" w:rsidRPr="00826FD4" w14:paraId="189460E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12149B3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6343" w:type="dxa"/>
          </w:tcPr>
          <w:p w14:paraId="05152E0D" w14:textId="2A762532" w:rsidR="0043561F" w:rsidRPr="00826FD4" w:rsidRDefault="00D87CDE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B343A" w:rsidRPr="00826FD4" w14:paraId="4D69E5D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AEB9D5E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(лекції/семінарські, лабораторні заняття/самостійна робота)</w:t>
            </w:r>
          </w:p>
        </w:tc>
        <w:tc>
          <w:tcPr>
            <w:tcW w:w="6343" w:type="dxa"/>
          </w:tcPr>
          <w:p w14:paraId="221E9E8E" w14:textId="1F5F513F" w:rsidR="005B343A" w:rsidRPr="00244EB4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</w:t>
            </w:r>
            <w:r w:rsidR="0043561F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7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14:paraId="0BB57C7D" w14:textId="20A09ED3" w:rsidR="005B343A" w:rsidRPr="00244EB4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заняття:</w:t>
            </w:r>
            <w:r w:rsidR="0043561F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7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  <w:p w14:paraId="4C758527" w14:textId="4B2DF95C" w:rsidR="005B343A" w:rsidRPr="00244EB4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  <w:r w:rsidR="0043561F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7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  <w:p w14:paraId="3BD74B20" w14:textId="57808D47" w:rsidR="005B343A" w:rsidRPr="00826FD4" w:rsidRDefault="005B343A" w:rsidP="00C56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</w:t>
            </w:r>
            <w:r w:rsidR="0043561F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7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5B343A" w:rsidRPr="00826FD4" w14:paraId="5184F96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12E4DA6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 викладача/ів)</w:t>
            </w:r>
          </w:p>
        </w:tc>
        <w:tc>
          <w:tcPr>
            <w:tcW w:w="6343" w:type="dxa"/>
          </w:tcPr>
          <w:p w14:paraId="5865B95D" w14:textId="0854D3F1" w:rsidR="0043561F" w:rsidRPr="00826FD4" w:rsidRDefault="0043561F" w:rsidP="00435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Філеп Михайло Йосипович, к.х.н., </w:t>
            </w:r>
          </w:p>
        </w:tc>
      </w:tr>
      <w:tr w:rsidR="005B343A" w:rsidRPr="00826FD4" w14:paraId="538C2D7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BB5469B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викладача/ів </w:t>
            </w:r>
          </w:p>
        </w:tc>
        <w:tc>
          <w:tcPr>
            <w:tcW w:w="6343" w:type="dxa"/>
          </w:tcPr>
          <w:p w14:paraId="04628B71" w14:textId="395370C2" w:rsidR="005B343A" w:rsidRPr="00826FD4" w:rsidRDefault="0043561F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filep.mihaly@kmf.org.ua</w:t>
            </w:r>
          </w:p>
        </w:tc>
      </w:tr>
      <w:tr w:rsidR="005B343A" w:rsidRPr="00826FD4" w14:paraId="26FBB14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4C62B79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717EC295" w14:textId="02505A46" w:rsidR="005B343A" w:rsidRPr="00826FD4" w:rsidRDefault="006A2A77" w:rsidP="00C500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вивчення курсу студенти потребують знань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ф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и, математики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неорганічн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</w:tr>
      <w:tr w:rsidR="005B343A" w:rsidRPr="00826FD4" w14:paraId="7E69D55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CF6867A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</w:t>
            </w:r>
          </w:p>
        </w:tc>
        <w:tc>
          <w:tcPr>
            <w:tcW w:w="6343" w:type="dxa"/>
          </w:tcPr>
          <w:p w14:paraId="2891DA20" w14:textId="12B3CA38" w:rsidR="00A04D9B" w:rsidRPr="00826FD4" w:rsidRDefault="006A2A77" w:rsidP="008F1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Кристалохімія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належить до переліку обов’язкових навчальних дисциплін за першим (бакалаврським) рівнем вищої освіти, що пропонуються в рамках циклу професійної підготовки студентів за освітньо-професійною програмою 014 Середня освіта (Хімія). Дисципліна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Кристалохімія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забезпечує формування у студентів науково-дослідницької, професійно-орієнтованої компетентності та спрямована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5D1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9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теоретичних та практичних питань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кристало</w:t>
            </w:r>
            <w:r w:rsidRPr="004339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хімії, які є теоретичною та практичною базою для вивчення профільних дисциплін на наступних курсах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04D9B" w:rsidRPr="00826FD4" w14:paraId="6BD21F1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933AF9D" w14:textId="1FDFD00C" w:rsidR="00A04D9B" w:rsidRPr="00826FD4" w:rsidRDefault="00080D5D" w:rsidP="00A04D9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</w:t>
            </w:r>
            <w:r w:rsidR="00A72E7F" w:rsidRPr="00826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7E4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4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та завдання </w:t>
            </w:r>
            <w:r w:rsidR="007E46FB"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  <w:r w:rsidR="00A04D9B" w:rsidRPr="00826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343" w:type="dxa"/>
          </w:tcPr>
          <w:p w14:paraId="3EE4D527" w14:textId="12304FF8" w:rsidR="00A72E7F" w:rsidRPr="00826FD4" w:rsidRDefault="008F1292" w:rsidP="00A740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Метою дисципліни є </w:t>
            </w:r>
            <w:r w:rsidRPr="00090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студентам систематизовані уявлення щодо симетрії і будови кристалів, методів експериментального дослідження та опису кристалічної структури речовин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740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6D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є</w:t>
            </w:r>
            <w:r w:rsidRPr="00416D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навчити студентів розуміти внутрішню структуру, зв'язок між зовнішньою формою і фізичними характеристиками кристалів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72E7F" w:rsidRPr="00826FD4" w14:paraId="58C6315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C5F4688" w14:textId="2DFF90B9" w:rsidR="00A72E7F" w:rsidRPr="00826FD4" w:rsidRDefault="00A72E7F" w:rsidP="00A04D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програмні результати навчальної дисципліни</w:t>
            </w:r>
          </w:p>
        </w:tc>
        <w:tc>
          <w:tcPr>
            <w:tcW w:w="6343" w:type="dxa"/>
          </w:tcPr>
          <w:p w14:paraId="3FDE9553" w14:textId="6F6E6497" w:rsidR="00A72E7F" w:rsidRDefault="008A2A38" w:rsidP="00A72E7F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завершення цього курсу студент буде:</w:t>
            </w:r>
          </w:p>
          <w:p w14:paraId="067877C7" w14:textId="77777777" w:rsidR="00A7400D" w:rsidRDefault="00A7400D" w:rsidP="00293A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0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Знати:</w:t>
            </w:r>
            <w:r w:rsidRPr="00323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склад, хімічну будову та властивості кристалічних речовин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323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симетрію кристалів та форми кристалічних многогранників;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3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теорію внутрішньої будови кристалічних речовин: кристалічна ґратка, типи комірок Браве, елементи </w:t>
            </w:r>
            <w:r w:rsidRPr="00323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симетрії;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3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рентгеноструктурного аналізу;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3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систематичної кристалохімії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16D532B" w14:textId="72935130" w:rsidR="0060331F" w:rsidRDefault="00A7400D" w:rsidP="00293A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0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Вміти: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3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формулу симетрії, називати прості форми кристалічних многогранників;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3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тип комірки Браве, сингонію, координаційне число і координаційний многогранник, число формульних одиниць у елементарній комірці на моделях кристалічних структур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323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тип найщільнішої упаковки атомів та розраховувати число пустот;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3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розраховувати густину кристалічних речовин, розмірів елементарних комірок.</w:t>
            </w:r>
          </w:p>
          <w:p w14:paraId="744D8012" w14:textId="66DDAE1C" w:rsidR="00293AAE" w:rsidRPr="00293AAE" w:rsidRDefault="00293AAE" w:rsidP="00293AA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93AA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Згідно з вимогами освітньо-наукової програми «Біологія та біохімія» для підготовки здобувачів вищої освіти на другому (магістерському) рівні вищої освіти здобувачі набудуть наступних компетентностей:</w:t>
            </w:r>
          </w:p>
          <w:p w14:paraId="39B57378" w14:textId="39D0A9CD" w:rsidR="00293AAE" w:rsidRPr="00180F3F" w:rsidRDefault="00293AAE" w:rsidP="00C01E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80F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загальних:</w:t>
            </w:r>
          </w:p>
          <w:p w14:paraId="1989A77D" w14:textId="1EEE6E93" w:rsidR="005359FF" w:rsidRPr="005359FF" w:rsidRDefault="005359FF" w:rsidP="005359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359F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ЗК1. Здатність до абстрактного мислення, аналізу та синтезу, розуміння причинно-наслідкових зв'язків, уміння застосовувати їх у професійній діяльності.</w:t>
            </w:r>
          </w:p>
          <w:p w14:paraId="17D70FBA" w14:textId="19C28756" w:rsidR="0060331F" w:rsidRDefault="005359FF" w:rsidP="005359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359F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ЗК2. Розуміння основних теорій, концепцій, вчення хімічної науки.</w:t>
            </w:r>
          </w:p>
          <w:p w14:paraId="1BA35C1E" w14:textId="189E9C18" w:rsidR="00293AAE" w:rsidRPr="00180F3F" w:rsidRDefault="00CE6DEB" w:rsidP="00C01E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80F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фахових:</w:t>
            </w:r>
          </w:p>
          <w:p w14:paraId="2C8637CD" w14:textId="35808801" w:rsidR="0060331F" w:rsidRDefault="005359FF" w:rsidP="00180F3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359F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ФК4. Здатність дотримуватись принципу науковості при трансляції знань у площину шкільних навчальних предметів з хімії, здійснення структурування навчального матеріалу.</w:t>
            </w:r>
          </w:p>
          <w:p w14:paraId="55C6B0F9" w14:textId="04C2854D" w:rsidR="005359FF" w:rsidRPr="005359FF" w:rsidRDefault="005359FF" w:rsidP="005359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359F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ФК10. Уміння оперувати поняттями, законами, концепціями, ученнями і теоріями хімії; користуватись хімічною символі-кою і термінологією; використовувати систематизовані теоретичні та практичні знання з хімії в навчальному процесі.</w:t>
            </w:r>
          </w:p>
          <w:p w14:paraId="428030C6" w14:textId="514B1BEA" w:rsidR="005359FF" w:rsidRPr="005359FF" w:rsidRDefault="005359FF" w:rsidP="005359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359F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ФК11. Здатність розкривати загальну структуру хімічних наук на основі взаємозв’язку вчення про будову речовини, про періодичну зміну властивостей хімічних елементів та їх сполук, про спрямованість, швидкість та механізми хімічних процесів.</w:t>
            </w:r>
          </w:p>
          <w:p w14:paraId="127AAB06" w14:textId="497ABD71" w:rsidR="005359FF" w:rsidRDefault="005359FF" w:rsidP="005359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359F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ФК12. Уміння користуватись лабораторним обладнанням та приладами при дослідженні речовин, хімічних процесів та явищ, розуміння основ статистичної обробки, уміння інтерпретувати та використовувати результати.</w:t>
            </w:r>
          </w:p>
          <w:p w14:paraId="34152115" w14:textId="3082FF3B" w:rsidR="00180F3F" w:rsidRPr="00180F3F" w:rsidRDefault="00180F3F" w:rsidP="00180F3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32"/>
                <w:lang w:val="uk-UA"/>
              </w:rPr>
            </w:pPr>
            <w:r w:rsidRPr="00180F3F">
              <w:rPr>
                <w:rFonts w:ascii="Times New Roman" w:hAnsi="Times New Roman" w:cs="Times New Roman"/>
                <w:i/>
                <w:iCs/>
                <w:sz w:val="24"/>
                <w:szCs w:val="32"/>
                <w:lang w:val="uk-UA"/>
              </w:rPr>
              <w:t>та програмних результатів навчання:</w:t>
            </w:r>
          </w:p>
          <w:p w14:paraId="12282B72" w14:textId="65C5AD0C" w:rsidR="005359FF" w:rsidRPr="005359FF" w:rsidRDefault="005359FF" w:rsidP="00535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9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6. Знати основні типи розрахункових задач, методичні підходи та загальні алгоритми їх розв'язування, уміти самостійно складати умови задач.</w:t>
            </w:r>
          </w:p>
          <w:p w14:paraId="021FEA6A" w14:textId="6B8C954D" w:rsidR="0017052C" w:rsidRDefault="005359FF" w:rsidP="00535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9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8. Знати основні поняття, терміни, теорії, концепції, закони і закономірності, класифікацію неорганічних речовин, методи дослідження, історію розвитку хімічних наук.</w:t>
            </w:r>
          </w:p>
          <w:p w14:paraId="2E21910B" w14:textId="218BE72A" w:rsidR="005359FF" w:rsidRPr="00826FD4" w:rsidRDefault="005359FF" w:rsidP="00535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9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11. Знати основні закони та терміни кристалохімії, міжнародну символіку, уміти характеризувати найбільш поши-рені типи кристалічних структур та їх властивості.</w:t>
            </w:r>
          </w:p>
        </w:tc>
      </w:tr>
      <w:tr w:rsidR="005B343A" w:rsidRPr="00826FD4" w14:paraId="64DF213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D5562FD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170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Тематика навчальної дисципліни</w:t>
            </w:r>
            <w:bookmarkEnd w:id="1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(лекції, семінарських занять, самостійної роботи)</w:t>
            </w:r>
          </w:p>
        </w:tc>
        <w:tc>
          <w:tcPr>
            <w:tcW w:w="6343" w:type="dxa"/>
          </w:tcPr>
          <w:p w14:paraId="02F7C9E8" w14:textId="77777777" w:rsidR="00244762" w:rsidRPr="00826FD4" w:rsidRDefault="00244762" w:rsidP="002447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тематика лекцій:</w:t>
            </w:r>
          </w:p>
          <w:p w14:paraId="770968AC" w14:textId="77777777" w:rsidR="00244762" w:rsidRPr="006A4BA9" w:rsidRDefault="00244762" w:rsidP="00244762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6A4BA9">
              <w:rPr>
                <w:rFonts w:ascii="Times New Roman" w:hAnsi="Times New Roman" w:cs="Times New Roman"/>
                <w:sz w:val="24"/>
                <w:szCs w:val="24"/>
              </w:rPr>
              <w:t>Властивості кристалів.</w:t>
            </w:r>
          </w:p>
          <w:p w14:paraId="3F0192CF" w14:textId="77777777" w:rsidR="00244762" w:rsidRPr="006A4BA9" w:rsidRDefault="00244762" w:rsidP="00244762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6A4BA9">
              <w:rPr>
                <w:rFonts w:ascii="Times New Roman" w:hAnsi="Times New Roman" w:cs="Times New Roman"/>
                <w:sz w:val="24"/>
                <w:szCs w:val="24"/>
              </w:rPr>
              <w:t>Елементи симетрії кристалічних структур</w:t>
            </w:r>
          </w:p>
          <w:p w14:paraId="3A69F793" w14:textId="77777777" w:rsidR="00244762" w:rsidRPr="006A4BA9" w:rsidRDefault="00244762" w:rsidP="00244762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6A4BA9">
              <w:rPr>
                <w:rFonts w:ascii="Times New Roman" w:hAnsi="Times New Roman" w:cs="Times New Roman"/>
                <w:sz w:val="24"/>
                <w:szCs w:val="24"/>
              </w:rPr>
              <w:t>Види симетрії кристалічних многогранників</w:t>
            </w:r>
          </w:p>
          <w:p w14:paraId="0E4B9D38" w14:textId="77777777" w:rsidR="00244762" w:rsidRPr="006A4BA9" w:rsidRDefault="00244762" w:rsidP="00244762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 </w:t>
            </w:r>
            <w:r w:rsidRPr="006A4BA9">
              <w:rPr>
                <w:rFonts w:ascii="Times New Roman" w:hAnsi="Times New Roman" w:cs="Times New Roman"/>
                <w:sz w:val="24"/>
                <w:szCs w:val="24"/>
              </w:rPr>
              <w:t>Прості форми кристалічних многогранників</w:t>
            </w:r>
          </w:p>
          <w:p w14:paraId="05DB2685" w14:textId="77777777" w:rsidR="00244762" w:rsidRPr="006A4BA9" w:rsidRDefault="00244762" w:rsidP="00244762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Pr="006A4BA9">
              <w:rPr>
                <w:rFonts w:ascii="Times New Roman" w:hAnsi="Times New Roman" w:cs="Times New Roman"/>
                <w:sz w:val="24"/>
                <w:szCs w:val="24"/>
              </w:rPr>
              <w:t>Основні закони кристало</w:t>
            </w:r>
            <w:r w:rsidRPr="006A4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графії</w:t>
            </w:r>
          </w:p>
          <w:p w14:paraId="43616022" w14:textId="77777777" w:rsidR="00244762" w:rsidRPr="006A4BA9" w:rsidRDefault="00244762" w:rsidP="00244762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Pr="006A4BA9">
              <w:rPr>
                <w:rFonts w:ascii="Times New Roman" w:hAnsi="Times New Roman" w:cs="Times New Roman"/>
                <w:sz w:val="24"/>
                <w:szCs w:val="24"/>
              </w:rPr>
              <w:t>Поняття про кристалічну ґратку</w:t>
            </w:r>
          </w:p>
          <w:p w14:paraId="09B1CB73" w14:textId="77777777" w:rsidR="00244762" w:rsidRPr="006A4BA9" w:rsidRDefault="00244762" w:rsidP="00244762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Pr="006A4BA9">
              <w:rPr>
                <w:rFonts w:ascii="Times New Roman" w:hAnsi="Times New Roman" w:cs="Times New Roman"/>
                <w:sz w:val="24"/>
                <w:szCs w:val="24"/>
              </w:rPr>
              <w:t>Фактори, що визначають структуру кристалів</w:t>
            </w:r>
          </w:p>
          <w:p w14:paraId="04D6BF1E" w14:textId="77777777" w:rsidR="00244762" w:rsidRPr="006A4BA9" w:rsidRDefault="00244762" w:rsidP="00244762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Основні структурні типи</w:t>
            </w:r>
          </w:p>
          <w:p w14:paraId="3D6E8830" w14:textId="77777777" w:rsidR="00244762" w:rsidRPr="006A4BA9" w:rsidRDefault="00244762" w:rsidP="00244762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r w:rsidRPr="006A4BA9">
              <w:rPr>
                <w:rFonts w:ascii="Times New Roman" w:hAnsi="Times New Roman" w:cs="Times New Roman"/>
                <w:sz w:val="24"/>
                <w:szCs w:val="24"/>
              </w:rPr>
              <w:t>Основні кристалохімічні категорії</w:t>
            </w:r>
          </w:p>
          <w:p w14:paraId="546B6C4F" w14:textId="77777777" w:rsidR="00244762" w:rsidRDefault="00244762" w:rsidP="00244762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r w:rsidRPr="006A4BA9">
              <w:rPr>
                <w:rFonts w:ascii="Times New Roman" w:hAnsi="Times New Roman" w:cs="Times New Roman"/>
                <w:sz w:val="24"/>
                <w:szCs w:val="24"/>
              </w:rPr>
              <w:t>Методи дослідження внутрішньої будови кристалів. Дефекти в кристалах</w:t>
            </w:r>
          </w:p>
          <w:p w14:paraId="5FC35D4C" w14:textId="3826E87E" w:rsidR="00EA7A67" w:rsidRPr="00826FD4" w:rsidRDefault="00244762" w:rsidP="002447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Тематики практичних робіт відображають та базуються на основн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лекцій.</w:t>
            </w:r>
          </w:p>
        </w:tc>
      </w:tr>
      <w:tr w:rsidR="005B343A" w:rsidRPr="00826FD4" w14:paraId="1456AF1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9C70C3C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</w:tcPr>
          <w:p w14:paraId="40493A15" w14:textId="77777777" w:rsidR="00403527" w:rsidRPr="009779A1" w:rsidRDefault="00403527" w:rsidP="004035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14:paraId="54460CAC" w14:textId="77777777" w:rsidR="00403527" w:rsidRPr="009779A1" w:rsidRDefault="00403527" w:rsidP="004035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та захист практичних робіт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77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 балів;</w:t>
            </w:r>
          </w:p>
          <w:p w14:paraId="1E61028B" w14:textId="77777777" w:rsidR="00403527" w:rsidRPr="009779A1" w:rsidRDefault="00403527" w:rsidP="004035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Модульні контрольні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77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 балів.</w:t>
            </w:r>
          </w:p>
          <w:p w14:paraId="0AAB6318" w14:textId="77777777" w:rsidR="00403527" w:rsidRPr="009779A1" w:rsidRDefault="00403527" w:rsidP="004035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  <w:r w:rsidRPr="00977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40% балів. </w:t>
            </w:r>
          </w:p>
          <w:p w14:paraId="442D2E51" w14:textId="6C0545F7" w:rsidR="00C26C9A" w:rsidRPr="00826FD4" w:rsidRDefault="00403527" w:rsidP="00403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Підсумковий бал студент отримує на підставі результатів виконаних ним усіх видів робіт протягом семестру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екзамену</w:t>
            </w:r>
            <w:r w:rsidRPr="00977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B343A" w:rsidRPr="00826FD4" w14:paraId="7FBBC13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0465093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навчальної дисципліни</w:t>
            </w:r>
            <w:bookmarkEnd w:id="3"/>
          </w:p>
          <w:p w14:paraId="148DE88D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31F3833" w14:textId="67FF6B41" w:rsidR="00BD1F92" w:rsidRPr="00826FD4" w:rsidRDefault="00BD1F92" w:rsidP="00820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оцінку. Перескладання</w:t>
            </w:r>
            <w:r w:rsidR="00826FD4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самостійних та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модул</w:t>
            </w:r>
            <w:r w:rsidR="00826FD4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ьних робіт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відбувається із дозволу лектора</w:t>
            </w:r>
            <w:r w:rsidR="00826FD4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завідувача кафедри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наявності поважних причи</w:t>
            </w:r>
            <w:r w:rsidR="00826FD4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26FD4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лабораторних занять є обов’язковим</w:t>
            </w:r>
            <w:r w:rsidR="00DD1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об’єктивних причин навчання може відбуватись в змішан</w:t>
            </w:r>
            <w:r w:rsidR="00667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</w:t>
            </w:r>
            <w:r w:rsidR="00667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погодженням із </w:t>
            </w:r>
            <w:r w:rsidR="00632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відповідальними викладачами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курсу.</w:t>
            </w:r>
          </w:p>
        </w:tc>
      </w:tr>
      <w:tr w:rsidR="005B343A" w:rsidRPr="00826FD4" w14:paraId="60ECBE69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9BB8242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і допоміжна література навчальної дисципліни та інші інформаційні ресурси</w:t>
            </w:r>
            <w:bookmarkEnd w:id="4"/>
          </w:p>
        </w:tc>
        <w:tc>
          <w:tcPr>
            <w:tcW w:w="6343" w:type="dxa"/>
          </w:tcPr>
          <w:p w14:paraId="7B767B9A" w14:textId="4F26EADD" w:rsidR="0032155A" w:rsidRDefault="00AF107B" w:rsidP="00321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21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155A" w:rsidRPr="00E876F3">
              <w:rPr>
                <w:rFonts w:ascii="Times New Roman" w:hAnsi="Times New Roman" w:cs="Times New Roman"/>
                <w:bCs/>
                <w:sz w:val="24"/>
                <w:szCs w:val="24"/>
              </w:rPr>
              <w:t>Бірюкович Л.О. Кристалографія, кристалохімія та мінералогія. Підручник. Київ</w:t>
            </w:r>
            <w:r w:rsidR="003215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32155A" w:rsidRPr="00E876F3">
              <w:rPr>
                <w:rFonts w:ascii="Times New Roman" w:hAnsi="Times New Roman" w:cs="Times New Roman"/>
                <w:bCs/>
                <w:sz w:val="24"/>
                <w:szCs w:val="24"/>
              </w:rPr>
              <w:t>Нац</w:t>
            </w:r>
            <w:r w:rsidR="003215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32155A" w:rsidRPr="00E876F3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r w:rsidR="003215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32155A" w:rsidRPr="00E876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унів</w:t>
            </w:r>
            <w:r w:rsidR="003215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32155A" w:rsidRPr="00E876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України «Київський політехнічний інститут ім</w:t>
            </w:r>
            <w:r w:rsidR="003215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32155A" w:rsidRPr="00E876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Ігоря Сікорського», 2018. 234 с</w:t>
            </w:r>
          </w:p>
          <w:p w14:paraId="0B70C3E7" w14:textId="7AC93A44" w:rsidR="0032155A" w:rsidRDefault="0032155A" w:rsidP="00321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2. </w:t>
            </w:r>
            <w:r w:rsidRPr="00B91234">
              <w:rPr>
                <w:rFonts w:ascii="Times New Roman" w:hAnsi="Times New Roman" w:cs="Times New Roman"/>
                <w:bCs/>
                <w:sz w:val="24"/>
                <w:szCs w:val="24"/>
              </w:rPr>
              <w:t>Зиман З.З. Основи структурної кристалографії: Навчальний посібник для студентів вищих навчальних закладів. 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арків.</w:t>
            </w:r>
            <w:r w:rsidRPr="00B912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ХНУ імені В. Н. Каразіна, 2008.  212 с.</w:t>
            </w:r>
          </w:p>
          <w:p w14:paraId="00181943" w14:textId="35189500" w:rsidR="0032155A" w:rsidRPr="001E6071" w:rsidRDefault="0032155A" w:rsidP="00321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  <w:r w:rsidRPr="001E60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Kristálytan kémia szakos hallgatók számára Székyné dr. Fux Vilma .- 26.kiad. .- Bp. Nemzeti Tankönyvkiadó 1994 .- 220 p.</w:t>
            </w:r>
          </w:p>
          <w:p w14:paraId="599DCD4B" w14:textId="747057B9" w:rsidR="0032155A" w:rsidRPr="0061753D" w:rsidRDefault="0032155A" w:rsidP="00321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4. </w:t>
            </w:r>
            <w:r w:rsidR="006175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West A. </w:t>
            </w:r>
            <w:r w:rsidR="0061753D" w:rsidRPr="0061753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Solid state chemistry and its applications</w:t>
            </w:r>
            <w:r w:rsidR="006175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61753D" w:rsidRPr="006175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Chichester,</w:t>
            </w:r>
            <w:r w:rsidR="006175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1753D" w:rsidRPr="006175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John Wiley &amp; Sons</w:t>
            </w:r>
            <w:r w:rsidR="006175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2014. 556 p.</w:t>
            </w:r>
          </w:p>
          <w:p w14:paraId="378DD67D" w14:textId="0B19033C" w:rsidR="0032155A" w:rsidRPr="001E6071" w:rsidRDefault="0032155A" w:rsidP="003215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Koch S., Sztrókay K. I., Grasselly G. </w:t>
            </w:r>
            <w:r w:rsidRPr="001E6071">
              <w:rPr>
                <w:rFonts w:ascii="Times New Roman" w:hAnsi="Times New Roman" w:cs="Times New Roman"/>
                <w:sz w:val="24"/>
                <w:szCs w:val="24"/>
              </w:rPr>
              <w:t xml:space="preserve">Ásványtan I kötet .– </w:t>
            </w:r>
            <w:r w:rsidRPr="001E6071">
              <w:rPr>
                <w:rFonts w:ascii="Times New Roman" w:hAnsi="Times New Roman" w:cs="Times New Roman"/>
                <w:bCs/>
                <w:sz w:val="24"/>
                <w:szCs w:val="24"/>
              </w:rPr>
              <w:t>Budapest:</w:t>
            </w:r>
            <w:r w:rsidRPr="001E6071">
              <w:rPr>
                <w:rFonts w:ascii="Times New Roman" w:hAnsi="Times New Roman" w:cs="Times New Roman"/>
                <w:sz w:val="24"/>
                <w:szCs w:val="24"/>
              </w:rPr>
              <w:t xml:space="preserve"> Nemzeti </w:t>
            </w:r>
            <w:r w:rsidRPr="001E6071">
              <w:rPr>
                <w:rFonts w:ascii="Times New Roman" w:hAnsi="Times New Roman" w:cs="Times New Roman"/>
                <w:bCs/>
                <w:sz w:val="24"/>
                <w:szCs w:val="24"/>
              </w:rPr>
              <w:t>Tankönyvkiadó, 1967.– 405 o.</w:t>
            </w:r>
          </w:p>
          <w:p w14:paraId="7980E561" w14:textId="576A4743" w:rsidR="005B343A" w:rsidRPr="00826FD4" w:rsidRDefault="0032155A" w:rsidP="00321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6071">
              <w:rPr>
                <w:rFonts w:ascii="Times New Roman" w:hAnsi="Times New Roman" w:cs="Times New Roman"/>
                <w:bCs/>
                <w:sz w:val="24"/>
                <w:szCs w:val="24"/>
              </w:rPr>
              <w:t>6. Koch S., Sztrókay K. I. Ásványtan II kötet .– Budapest: Nemzeti Tankönyvkiadó, 1968.– 528 o.</w:t>
            </w:r>
          </w:p>
        </w:tc>
      </w:tr>
    </w:tbl>
    <w:p w14:paraId="7551ABDE" w14:textId="77777777" w:rsidR="00392D23" w:rsidRPr="00826FD4" w:rsidRDefault="00392D23" w:rsidP="00392D23">
      <w:pPr>
        <w:rPr>
          <w:lang w:val="uk-UA"/>
        </w:rPr>
      </w:pPr>
    </w:p>
    <w:sectPr w:rsidR="00392D23" w:rsidRPr="00826FD4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B5650"/>
    <w:multiLevelType w:val="hybridMultilevel"/>
    <w:tmpl w:val="F52C3568"/>
    <w:lvl w:ilvl="0" w:tplc="ABCA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43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54359"/>
    <w:rsid w:val="00080D5D"/>
    <w:rsid w:val="00092710"/>
    <w:rsid w:val="000B6154"/>
    <w:rsid w:val="000D35F3"/>
    <w:rsid w:val="000E14A5"/>
    <w:rsid w:val="00133261"/>
    <w:rsid w:val="001425FD"/>
    <w:rsid w:val="0017052C"/>
    <w:rsid w:val="00180F3F"/>
    <w:rsid w:val="00244762"/>
    <w:rsid w:val="00244EB4"/>
    <w:rsid w:val="0028088A"/>
    <w:rsid w:val="00293AAE"/>
    <w:rsid w:val="00295510"/>
    <w:rsid w:val="002B63CE"/>
    <w:rsid w:val="002C40AD"/>
    <w:rsid w:val="00321332"/>
    <w:rsid w:val="0032155A"/>
    <w:rsid w:val="00392D23"/>
    <w:rsid w:val="003C4985"/>
    <w:rsid w:val="003F59A1"/>
    <w:rsid w:val="00403527"/>
    <w:rsid w:val="0043561F"/>
    <w:rsid w:val="0045211F"/>
    <w:rsid w:val="004B7818"/>
    <w:rsid w:val="004D4ADF"/>
    <w:rsid w:val="004D68EC"/>
    <w:rsid w:val="004D78D8"/>
    <w:rsid w:val="004E2C2F"/>
    <w:rsid w:val="00511259"/>
    <w:rsid w:val="00526D7D"/>
    <w:rsid w:val="005359FF"/>
    <w:rsid w:val="00556A1A"/>
    <w:rsid w:val="005B343A"/>
    <w:rsid w:val="0060331F"/>
    <w:rsid w:val="0061753D"/>
    <w:rsid w:val="006309BA"/>
    <w:rsid w:val="0063271F"/>
    <w:rsid w:val="006618B7"/>
    <w:rsid w:val="00667AE3"/>
    <w:rsid w:val="006A2A77"/>
    <w:rsid w:val="006E251A"/>
    <w:rsid w:val="006F1E62"/>
    <w:rsid w:val="00705681"/>
    <w:rsid w:val="007136AD"/>
    <w:rsid w:val="007A599E"/>
    <w:rsid w:val="007B1F80"/>
    <w:rsid w:val="007E46FB"/>
    <w:rsid w:val="007F6AB3"/>
    <w:rsid w:val="00820A25"/>
    <w:rsid w:val="00826FD4"/>
    <w:rsid w:val="00827437"/>
    <w:rsid w:val="008830F0"/>
    <w:rsid w:val="008842E1"/>
    <w:rsid w:val="008A15E1"/>
    <w:rsid w:val="008A2A38"/>
    <w:rsid w:val="008A71D4"/>
    <w:rsid w:val="008F1292"/>
    <w:rsid w:val="009343A0"/>
    <w:rsid w:val="00974513"/>
    <w:rsid w:val="00994568"/>
    <w:rsid w:val="00A04D9B"/>
    <w:rsid w:val="00A26453"/>
    <w:rsid w:val="00A72E7F"/>
    <w:rsid w:val="00A7400D"/>
    <w:rsid w:val="00A95F70"/>
    <w:rsid w:val="00AA2EB7"/>
    <w:rsid w:val="00AF107B"/>
    <w:rsid w:val="00B024B5"/>
    <w:rsid w:val="00B46DB5"/>
    <w:rsid w:val="00BD1F92"/>
    <w:rsid w:val="00BF555F"/>
    <w:rsid w:val="00C01E24"/>
    <w:rsid w:val="00C26C9A"/>
    <w:rsid w:val="00C34950"/>
    <w:rsid w:val="00C5004C"/>
    <w:rsid w:val="00C56F44"/>
    <w:rsid w:val="00C570C8"/>
    <w:rsid w:val="00C65D1D"/>
    <w:rsid w:val="00CA5A2C"/>
    <w:rsid w:val="00CE6DEB"/>
    <w:rsid w:val="00CF5B35"/>
    <w:rsid w:val="00D35546"/>
    <w:rsid w:val="00D87CDE"/>
    <w:rsid w:val="00DD19AC"/>
    <w:rsid w:val="00E01BAC"/>
    <w:rsid w:val="00E41F89"/>
    <w:rsid w:val="00E47EA8"/>
    <w:rsid w:val="00E5442C"/>
    <w:rsid w:val="00EA7A67"/>
    <w:rsid w:val="00EC7FA9"/>
    <w:rsid w:val="00ED4A0C"/>
    <w:rsid w:val="00ED72C2"/>
    <w:rsid w:val="00EE79F5"/>
    <w:rsid w:val="00EF1521"/>
    <w:rsid w:val="00F6784F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C2B4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E7F"/>
    <w:pPr>
      <w:ind w:left="720"/>
      <w:contextualSpacing/>
    </w:pPr>
  </w:style>
  <w:style w:type="character" w:customStyle="1" w:styleId="jlqj4b">
    <w:name w:val="jlqj4b"/>
    <w:basedOn w:val="a0"/>
    <w:rsid w:val="00A9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09D9-16F2-46B9-99DA-17A990D2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82</cp:revision>
  <dcterms:created xsi:type="dcterms:W3CDTF">2020-09-15T20:21:00Z</dcterms:created>
  <dcterms:modified xsi:type="dcterms:W3CDTF">2023-09-01T18:10:00Z</dcterms:modified>
</cp:coreProperties>
</file>