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6E68" w14:textId="77777777" w:rsidR="0034285A" w:rsidRPr="00516F26" w:rsidRDefault="006836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26">
        <w:rPr>
          <w:rFonts w:ascii="Times New Roman" w:eastAsia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391"/>
        <w:gridCol w:w="1700"/>
        <w:gridCol w:w="1391"/>
        <w:gridCol w:w="1854"/>
        <w:gridCol w:w="1388"/>
      </w:tblGrid>
      <w:tr w:rsidR="0034285A" w:rsidRPr="00516F26" w14:paraId="4D8FE633" w14:textId="77777777">
        <w:trPr>
          <w:trHeight w:val="1453"/>
        </w:trPr>
        <w:tc>
          <w:tcPr>
            <w:tcW w:w="1848" w:type="dxa"/>
          </w:tcPr>
          <w:p w14:paraId="58D0566F" w14:textId="1855852C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1391" w:type="dxa"/>
            <w:vAlign w:val="center"/>
          </w:tcPr>
          <w:p w14:paraId="4B90B9B7" w14:textId="1ED6FB96" w:rsidR="0034285A" w:rsidRPr="00516F26" w:rsidRDefault="006C0B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700" w:type="dxa"/>
          </w:tcPr>
          <w:p w14:paraId="25973E82" w14:textId="23E2B304" w:rsidR="0034285A" w:rsidRPr="00516F26" w:rsidRDefault="00683633" w:rsidP="00981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391" w:type="dxa"/>
            <w:vAlign w:val="center"/>
          </w:tcPr>
          <w:p w14:paraId="3645CD34" w14:textId="07969580" w:rsidR="0034285A" w:rsidRPr="00516F26" w:rsidRDefault="00E7278C" w:rsidP="009816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levelező</w:t>
            </w:r>
          </w:p>
        </w:tc>
        <w:tc>
          <w:tcPr>
            <w:tcW w:w="1854" w:type="dxa"/>
          </w:tcPr>
          <w:p w14:paraId="718CD56B" w14:textId="4AFA659D" w:rsidR="0034285A" w:rsidRPr="00516F26" w:rsidRDefault="00683633" w:rsidP="00981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388" w:type="dxa"/>
            <w:vAlign w:val="center"/>
          </w:tcPr>
          <w:p w14:paraId="42E45B50" w14:textId="44735A21" w:rsidR="0034285A" w:rsidRPr="00516F26" w:rsidRDefault="006C0B7C" w:rsidP="009816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981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981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</w:tbl>
    <w:p w14:paraId="247F2013" w14:textId="77777777" w:rsidR="0034285A" w:rsidRPr="00516F26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E41CF" w14:textId="77777777" w:rsidR="0034285A" w:rsidRPr="00516F26" w:rsidRDefault="0068363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26"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p w14:paraId="242F71ED" w14:textId="77777777" w:rsidR="0034285A" w:rsidRPr="00516F26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671"/>
      </w:tblGrid>
      <w:tr w:rsidR="0034285A" w:rsidRPr="00516F26" w14:paraId="1B022C6D" w14:textId="77777777">
        <w:tc>
          <w:tcPr>
            <w:tcW w:w="3947" w:type="dxa"/>
            <w:shd w:val="clear" w:color="auto" w:fill="D9D9D9"/>
          </w:tcPr>
          <w:p w14:paraId="4B324EC3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5671" w:type="dxa"/>
          </w:tcPr>
          <w:p w14:paraId="64047B7C" w14:textId="0CEC2C35" w:rsidR="0034285A" w:rsidRPr="00516F26" w:rsidRDefault="00200BA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Geológia</w:t>
            </w:r>
          </w:p>
        </w:tc>
      </w:tr>
      <w:tr w:rsidR="0034285A" w:rsidRPr="00516F26" w14:paraId="4A7EF05F" w14:textId="77777777">
        <w:tc>
          <w:tcPr>
            <w:tcW w:w="3947" w:type="dxa"/>
            <w:shd w:val="clear" w:color="auto" w:fill="D9D9D9"/>
          </w:tcPr>
          <w:p w14:paraId="3D6F060C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5671" w:type="dxa"/>
          </w:tcPr>
          <w:p w14:paraId="6747D9E4" w14:textId="185CB582" w:rsidR="0034285A" w:rsidRPr="00516F26" w:rsidRDefault="00200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Földrajz és Turizmus</w:t>
            </w:r>
          </w:p>
        </w:tc>
      </w:tr>
      <w:tr w:rsidR="0034285A" w:rsidRPr="00516F26" w14:paraId="37F90162" w14:textId="77777777">
        <w:tc>
          <w:tcPr>
            <w:tcW w:w="3947" w:type="dxa"/>
            <w:shd w:val="clear" w:color="auto" w:fill="D9D9D9"/>
          </w:tcPr>
          <w:p w14:paraId="02D83F9C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5671" w:type="dxa"/>
          </w:tcPr>
          <w:p w14:paraId="3D0D0802" w14:textId="455E0F18" w:rsidR="0034285A" w:rsidRPr="00516F26" w:rsidRDefault="00200BA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Oktatás. 014. Középiskolai oktatás (Földrajz)</w:t>
            </w:r>
          </w:p>
        </w:tc>
      </w:tr>
      <w:tr w:rsidR="0034285A" w:rsidRPr="00516F26" w14:paraId="294EA898" w14:textId="77777777">
        <w:tc>
          <w:tcPr>
            <w:tcW w:w="3947" w:type="dxa"/>
            <w:shd w:val="clear" w:color="auto" w:fill="D9D9D9"/>
          </w:tcPr>
          <w:p w14:paraId="66B6D01C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5671" w:type="dxa"/>
          </w:tcPr>
          <w:p w14:paraId="0E5AB544" w14:textId="41F8710E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Típus (kötelező vagy választható):</w:t>
            </w:r>
            <w:r w:rsidR="00200BAA"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0BAA" w:rsidRPr="00516F26">
              <w:rPr>
                <w:rFonts w:ascii="Times New Roman" w:hAnsi="Times New Roman" w:cs="Times New Roman"/>
                <w:sz w:val="24"/>
                <w:szCs w:val="24"/>
              </w:rPr>
              <w:t>kötelező</w:t>
            </w:r>
          </w:p>
          <w:p w14:paraId="48E8A52E" w14:textId="7315EFF6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Kreditérték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015A763" w14:textId="4E1FEBD3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Előadás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727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79C333FD" w14:textId="64869AED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Szeminárium/gyakorlat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72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0AE657F" w14:textId="136787EA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Laboratóriumi munka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D78AB41" w14:textId="4C206AE6" w:rsidR="0034285A" w:rsidRPr="00516F26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Önálló munka</w:t>
            </w:r>
            <w:r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 w:rsidRPr="00516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278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4285A" w:rsidRPr="00516F26" w14:paraId="23444C24" w14:textId="77777777">
        <w:trPr>
          <w:trHeight w:val="1398"/>
        </w:trPr>
        <w:tc>
          <w:tcPr>
            <w:tcW w:w="3947" w:type="dxa"/>
            <w:shd w:val="clear" w:color="auto" w:fill="D9D9D9"/>
          </w:tcPr>
          <w:p w14:paraId="49A689BD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</w:tc>
        <w:tc>
          <w:tcPr>
            <w:tcW w:w="5671" w:type="dxa"/>
          </w:tcPr>
          <w:p w14:paraId="503F61BC" w14:textId="77777777" w:rsidR="00200BAA" w:rsidRPr="00516F26" w:rsidRDefault="00200BAA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Gönczy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Sándor, PhD, docens, </w:t>
            </w:r>
          </w:p>
          <w:p w14:paraId="2A9552DF" w14:textId="77777777" w:rsidR="00200BAA" w:rsidRPr="00516F26" w:rsidRDefault="00E7278C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0BAA"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gonczy.sandor@kmf.org.ua</w:t>
              </w:r>
            </w:hyperlink>
            <w:r w:rsidR="00200BAA"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7765B" w14:textId="77777777" w:rsidR="0034285A" w:rsidRPr="00516F26" w:rsidRDefault="0034285A" w:rsidP="00E72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:rsidRPr="00516F26" w14:paraId="6027542B" w14:textId="77777777">
        <w:trPr>
          <w:trHeight w:val="1136"/>
        </w:trPr>
        <w:tc>
          <w:tcPr>
            <w:tcW w:w="3947" w:type="dxa"/>
            <w:shd w:val="clear" w:color="auto" w:fill="D9D9D9"/>
          </w:tcPr>
          <w:p w14:paraId="0E29B4B5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14:paraId="71063CFF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5EFA26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31AF52DB" w14:textId="397D9CA8" w:rsidR="0034285A" w:rsidRPr="00516F26" w:rsidRDefault="00200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nincs </w:t>
            </w:r>
          </w:p>
          <w:p w14:paraId="2E0A673D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:rsidRPr="00516F26" w14:paraId="79767E2D" w14:textId="77777777">
        <w:tc>
          <w:tcPr>
            <w:tcW w:w="3947" w:type="dxa"/>
            <w:shd w:val="clear" w:color="auto" w:fill="D9D9D9"/>
          </w:tcPr>
          <w:p w14:paraId="5FD4DA9F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14:paraId="03D40046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1B303A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152A9B3F" w14:textId="77777777" w:rsidR="00200BAA" w:rsidRPr="00516F26" w:rsidRDefault="00200BAA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Tárgy: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 geológia a Föld 4,6 milliárd éves fejlődését, történetét, belső szerkezetét bemutató tudomány.</w:t>
            </w:r>
          </w:p>
          <w:p w14:paraId="1E927A09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rPr>
                <w:b/>
                <w:i/>
              </w:rPr>
              <w:t>A tantárgy célja:</w:t>
            </w:r>
            <w:r w:rsidRPr="00516F26">
              <w:t xml:space="preserve"> Bemutatni a föld kialakulását, fejlődését és a benne ható erőket. Három nagy területe van, az elemző földtan, a történeti földtan és az alkalmazott földtan.</w:t>
            </w:r>
          </w:p>
          <w:p w14:paraId="74605CF2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t xml:space="preserve">A klasszikus földtan elsősorban alapkutatásokkal, a Föld fejlődésének általános törvényszerűségeivel foglalkozik. Ezen belül több résztudomány fejlődött ki, mint pl. a vulkanizmussal, a vulkánok geológiájával foglalkozó vulkanológia, az üledékes kőzetekkel foglalkozó </w:t>
            </w:r>
            <w:proofErr w:type="spellStart"/>
            <w:r w:rsidRPr="00516F26">
              <w:t>szedimentológia</w:t>
            </w:r>
            <w:proofErr w:type="spellEnd"/>
            <w:r w:rsidRPr="00516F26">
              <w:t xml:space="preserve"> vagy a földkéreg szerkezetét kutató tektonika.</w:t>
            </w:r>
          </w:p>
          <w:p w14:paraId="2FDA9A2A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t xml:space="preserve">A történeti földtan a földi fejlődést kutatja. Az előző részhez hasonlóan itt is több résztudomány alakult ki. A </w:t>
            </w:r>
            <w:proofErr w:type="spellStart"/>
            <w:r w:rsidRPr="00516F26">
              <w:t>sztratigráfia</w:t>
            </w:r>
            <w:proofErr w:type="spellEnd"/>
            <w:r w:rsidRPr="00516F26">
              <w:t xml:space="preserve">, a litoszférát felépítő kőzettestek időbeli és térbeli elterjedésével foglalkozik. A regionális földtan kisebb területet (pl. ország, kontinens) kutat. A </w:t>
            </w:r>
            <w:proofErr w:type="spellStart"/>
            <w:r w:rsidRPr="00516F26">
              <w:t>paleogeográfia</w:t>
            </w:r>
            <w:proofErr w:type="spellEnd"/>
            <w:r w:rsidRPr="00516F26">
              <w:t xml:space="preserve">, </w:t>
            </w:r>
            <w:proofErr w:type="spellStart"/>
            <w:r w:rsidRPr="00516F26">
              <w:t>paleoklimatológia</w:t>
            </w:r>
            <w:proofErr w:type="spellEnd"/>
            <w:r w:rsidRPr="00516F26">
              <w:t xml:space="preserve">, </w:t>
            </w:r>
            <w:proofErr w:type="spellStart"/>
            <w:r w:rsidRPr="00516F26">
              <w:t>paleoökológia</w:t>
            </w:r>
            <w:proofErr w:type="spellEnd"/>
            <w:r w:rsidRPr="00516F26">
              <w:t xml:space="preserve"> a földtörténeti korok földrajzi éghajlati és ökológiai körülményeit rekonstruálja.</w:t>
            </w:r>
          </w:p>
          <w:p w14:paraId="7059069C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lastRenderedPageBreak/>
              <w:t>Az alkalmazott földtan az alapkutatások eredményeit próbálja az ásványi nyersanyagkutatásban hasznosítani. Vizsgálati módszereiben szorosan támaszkodik a fizika, kémia, biológia és a matematika eredményeire.</w:t>
            </w:r>
          </w:p>
          <w:p w14:paraId="225F8835" w14:textId="77777777" w:rsidR="00200BAA" w:rsidRPr="00516F26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516F26">
              <w:t xml:space="preserve">Összességében tehát a geológia vizsgálatai az ásványokra, kőzetekre, kövületekre, s a belőlük felépített komplexumokra (pl. formációk, a litoszféra szerkezeti elemei és egységei, ásványi nyersanyagok </w:t>
            </w:r>
            <w:proofErr w:type="spellStart"/>
            <w:r w:rsidRPr="00516F26">
              <w:t>telepei</w:t>
            </w:r>
            <w:proofErr w:type="spellEnd"/>
            <w:r w:rsidRPr="00516F26">
              <w:t>, hegységek, medencék, vulkánok, barlangok stb.) terjed ki.</w:t>
            </w:r>
          </w:p>
          <w:p w14:paraId="45F924B5" w14:textId="77777777" w:rsidR="00200BAA" w:rsidRPr="00516F26" w:rsidRDefault="00200BAA" w:rsidP="00200B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0A3A" w14:textId="77777777" w:rsidR="00200BAA" w:rsidRPr="00516F26" w:rsidRDefault="00200BAA" w:rsidP="00200B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 tantárgy feladatai:</w:t>
            </w:r>
          </w:p>
          <w:p w14:paraId="234EF7B6" w14:textId="77777777" w:rsidR="00200BAA" w:rsidRPr="00516F26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Módszertani: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bemutatni a hallgatóknak a föld szerkezetével és fejlődésével kapcsolatos ismeretek alkalmazásának az elméleti és módszertani sajátosságait.</w:t>
            </w:r>
          </w:p>
          <w:p w14:paraId="2781D424" w14:textId="77777777" w:rsidR="00200BAA" w:rsidRPr="00516F26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Ismereti: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bemutatni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a földi geoszférák sajátosságait, a kristály és ásványtan alapfogalmait; ismertetni kőzetképződés és kőzetciklus mechanizmusát, az üledékképződési környezeteket és a metamorf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fácieseket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B43D73" w14:textId="3FEFB781" w:rsidR="00200BAA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Gyakorlati: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megtanulni gyakorlatban a kristály-, ásvány- és kőzethatározás legfontosabb módszereit, és megtanulni a környezetünkben lévő legjellemzőbb kőzettípusokat.</w:t>
            </w:r>
          </w:p>
          <w:p w14:paraId="6A5F9C70" w14:textId="710166F3" w:rsidR="009816C8" w:rsidRDefault="009816C8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8218" w14:textId="5A7710B3" w:rsidR="0034285A" w:rsidRPr="009816C8" w:rsidRDefault="009816C8" w:rsidP="009816C8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6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fő témaköröket lásd az 1. mellékletben!</w:t>
            </w:r>
          </w:p>
        </w:tc>
      </w:tr>
      <w:tr w:rsidR="009816C8" w:rsidRPr="00516F26" w14:paraId="71ECC030" w14:textId="77777777">
        <w:tc>
          <w:tcPr>
            <w:tcW w:w="3947" w:type="dxa"/>
            <w:shd w:val="clear" w:color="auto" w:fill="D9D9D9"/>
          </w:tcPr>
          <w:p w14:paraId="71889209" w14:textId="3875203C" w:rsidR="009816C8" w:rsidRPr="00516F26" w:rsidRDefault="009816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</w:tc>
        <w:tc>
          <w:tcPr>
            <w:tcW w:w="5671" w:type="dxa"/>
          </w:tcPr>
          <w:p w14:paraId="76B77866" w14:textId="12B1E90D" w:rsidR="009816C8" w:rsidRPr="00516F26" w:rsidRDefault="009816C8" w:rsidP="0098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A tárgy egy féléves és öt kreditet ér. A félév írásbeli vizsgával zárul. </w:t>
            </w:r>
          </w:p>
          <w:p w14:paraId="7792C994" w14:textId="77777777" w:rsidR="009816C8" w:rsidRPr="00516F26" w:rsidRDefault="009816C8" w:rsidP="009816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vizsgán pluszpontok szerezhetők a következőképpen: </w:t>
            </w:r>
          </w:p>
          <w:p w14:paraId="554C1B97" w14:textId="77777777" w:rsidR="009816C8" w:rsidRPr="00516F26" w:rsidRDefault="009816C8" w:rsidP="009816C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Rendszerezett, az év végén bemutatott ásványgyűjtemény (min. 10 különböző ásvány): 5 pont; </w:t>
            </w:r>
          </w:p>
          <w:p w14:paraId="4D16FF81" w14:textId="77777777" w:rsidR="009816C8" w:rsidRDefault="009816C8" w:rsidP="0098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Rendszerezett, év végén bemutatott kőzetgyűjtemény (min. 10 különböző kőzet): 5 pont;</w:t>
            </w:r>
          </w:p>
          <w:p w14:paraId="7FCCAEBF" w14:textId="77777777" w:rsidR="00B11F9F" w:rsidRDefault="00B11F9F" w:rsidP="00981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74487" w14:textId="39B26117" w:rsidR="00B11F9F" w:rsidRPr="00516F26" w:rsidRDefault="00B11F9F" w:rsidP="009816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teljesítéshez szükséges pontok részletes leosztását lásd a 2. mellékletben!</w:t>
            </w:r>
          </w:p>
        </w:tc>
      </w:tr>
      <w:tr w:rsidR="0034285A" w:rsidRPr="00516F26" w14:paraId="02D37CA7" w14:textId="77777777">
        <w:tc>
          <w:tcPr>
            <w:tcW w:w="9618" w:type="dxa"/>
            <w:gridSpan w:val="2"/>
            <w:shd w:val="clear" w:color="auto" w:fill="auto"/>
          </w:tcPr>
          <w:p w14:paraId="4C9B748F" w14:textId="77777777" w:rsidR="0034285A" w:rsidRPr="00516F26" w:rsidRDefault="0034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:rsidRPr="00516F26" w14:paraId="4614BB29" w14:textId="77777777">
        <w:tc>
          <w:tcPr>
            <w:tcW w:w="3947" w:type="dxa"/>
            <w:shd w:val="clear" w:color="auto" w:fill="D9D9D9"/>
          </w:tcPr>
          <w:p w14:paraId="0661B8F6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</w:tc>
        <w:tc>
          <w:tcPr>
            <w:tcW w:w="5671" w:type="dxa"/>
          </w:tcPr>
          <w:p w14:paraId="0875C009" w14:textId="4EAA8614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Alapfogalmak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/ Основні поняття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54DAD5" w14:textId="77777777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modul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geológia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klasszikus földtan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класична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történeti földtan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історична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alkalmazott földtan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прикладна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vulkanológia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вулканологія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hidrogeológia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гідрогеологія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geokronológia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геохронологія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paleogeográfia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палеогеографія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paleoklimatológia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алеокліматоло́гія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paleoökológia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алеоекологія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szedimentológia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седиментологія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szeizmológia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сейсмологія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sztratigráfia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стратиграфія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tektonika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тектоніка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kvarter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geológia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етвертинна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enger-geológia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мор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spaleológia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cпелеологія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asztrogeológia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ланетарна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agrogeológia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aгрогеологія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pedológia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ґрунтознавство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regionális földtan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регіональна геологія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földtani térképezés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еологічне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картографування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galaxis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галактика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naprendszer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сонячна система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csillag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, bolygó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планета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őzet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гірськ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пород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a, ásvány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мінерал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 atom / a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том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 elemi részecskék / c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кладові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частини атомів та атомних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ядер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kvark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кварки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világűr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космічний простір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Kant-Laplace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nebuláris</w:t>
            </w:r>
            <w:proofErr w:type="spellEnd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elmélet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гі</w:t>
            </w:r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потеза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Канта-Лапласа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Conrad-felület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поверхня Конрада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Mohorovičič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-felület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Мохоровичича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Repetti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felület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Репетті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Gutenberg–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Wiechert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-felület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поверхня Гутенберга-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Вейхерта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Lehmann-felület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Легмана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ежа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Леманн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), asztenoszféra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астеносфера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földkéreg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земна кора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földköpeny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мантія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földmag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ядро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belső övek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нутрішні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оболонки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külső földövek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овнішні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оболонки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Nap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konvekciós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zónája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онвективна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зона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Сонця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Nap atmoszférája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aтмосфера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Сонця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 napkorona / c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онячна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корона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napfolt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cонячна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пляма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A5BF4BE" w14:textId="77777777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modul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bipiramis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біпіраміда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biszfenoid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бісфеноїд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2-го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подвійна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dipiramis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дипіраміда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dóma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площинний 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elemi cella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елементарна комірка кристала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giroid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зеркально</w:t>
            </w:r>
            <w:r w:rsidRPr="00516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поворотна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hexaéder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гексаедр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hexagir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гексагональна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hexagonális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гексагональна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triklin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риклинна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trigonális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ригональна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inverziós pont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ц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kristály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kristályosztályok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 кристалів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kristályrendszerek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сингонія кристалів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monoklin rendszer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оноклінна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rombos rendszer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омбічна</w:t>
            </w:r>
            <w:proofErr w:type="spellEnd"/>
            <w:r w:rsidRPr="00516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tetragonális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етрагональна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szabályos rendszer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убічна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oktaéder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октаедр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pedion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моноедр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piramis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піраміда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prizma vagy hasáb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romboéder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ромбоедр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szfenoid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сфеноїд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діедр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площинний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szimmetria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симетрія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szimmetriaelemek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szkalenoéder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скаленоедр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tetraéder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тетраедр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tetragir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4-го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тетрагональна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trapezoéder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трапецоедр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trigir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3-го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потрійна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tükörsík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лощина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véglap vagy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pinakoid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інако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kristálytan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ристалографія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kristálykémia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кристалохімія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kristályfizika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кристалографія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geometriai kristálytan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кристалографія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szögállandóság törvénye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закон постійності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кутів кристалів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racionális paramétertörvény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Гаю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ї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цілих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чисел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раціональних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відношень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), zónatörvény / з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Вейса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поясів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91549" w14:textId="73D5BBE1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3.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allitos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mállás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аллітове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вивітрювання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десилікація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sziallitos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mállás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сіаллітове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вивітрювання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ásvány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мінерал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asszimiláció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ассиміляція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-sor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реакційна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схема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Боуена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filo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-szilikátok (vagy réteg-szilikátok)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шаруваті силікати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foszfátok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фосфати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földpát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польовий шпат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fumarola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фумарола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gejzír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гейзер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halogének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галоїди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az ásványok hasadása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cпайність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hidrotermális fázis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гідротермальна фаза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ikresedés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двійникування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ino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-szilikátok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(lánc-szilikátok)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ланцюжкові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силікати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járulékos kőzetalkotó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ásványok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додаткові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акцесорні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породоутворюючі мінерали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karbonátok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карбонати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láva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лава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magma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magmakamra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магматичне вогнище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magmadifferenciáció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магматична диференціація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mofetta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мофетта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nezo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-szilikátok (sziget-szilikátok)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острівні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силікати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oxidok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plagioklászok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лагіоклази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szolfatara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сольфатара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szerves ásványok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oрганічні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мінерали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szoroszilikátok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(csoport-szilikátok)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силікати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каркасн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tekto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-szilikátok (váz-szilikátok)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сітчаст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силікати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szulfátok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сульфати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szulfidok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сульфіди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terméselemek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cамородні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елементи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az ásványok törése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лам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utómagmás szakasz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постмагматичний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viszkozitás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в’язкість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uralkodó kőzetalkotó ásványok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породоутворюючі мінерали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vulkáni utóműködés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поствулканічне виверження.</w:t>
            </w:r>
          </w:p>
          <w:p w14:paraId="01425974" w14:textId="2E4BF0A0" w:rsidR="003D4B3E" w:rsidRPr="00516F26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modul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agyag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argilit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аргіліт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allochton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алохтон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anchimetamorfózis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анхіметаморфізм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зеленосланцевий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), antiklinális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антикліналь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autochton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автохтон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batolit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батоліт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bázisos kőzet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основні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belső erők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(endogén erők)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внутрішні сили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ендогенні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сили Землі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Benioff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-zóna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зона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Беніофа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Вадати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Беніофа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breccsa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брекчія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centrális vulkanizmus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центральний вулканізм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cseppkő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сталактит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dagadókúp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куполоподібний 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dájk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айка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diagenezis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діагенез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diapír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діапір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dinamometamorfózis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динамометаморфізм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dinamotermális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metamorfózis (kontakt metamorfózis)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онтактовий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метаморфізм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divergens lemezszegély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Дивергентні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розсування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тектонічних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плит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effúzió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еффузія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epicentrum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єпіцентр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epikontinentális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tenger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єпіконтінентальні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моря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epimetamorfózis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єпіметаморфізм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єпідот-амфіболітовий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-féle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fáciesek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фаціальні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стосунки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Ескол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külső erők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exogén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erők)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зовнішні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сили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Землі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екзогенні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сили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Землі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explózió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експлозія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fizikai mállás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aprózódás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вивітрювання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фліш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formáció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геологічна формація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forrófolt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гаряча точка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földrengés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землетрус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fumarola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фумарол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a, gejzír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гейзер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геосинкліналь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geotermikus energia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геометрична енергія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geotermikus gradiens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геометричний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градіент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hasadékvulkán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ріщинн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Hawaii-típusú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вулкани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гавайсього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hideg iszapvulkánok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холодні грязьові вулкани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hidroszféra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гідросфера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hipocentrum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гіпоцентр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holokristályos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szövet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повнокристалічнa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зернисто-кристалічнa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структурa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horszt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горст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horzsakő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пемза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hőanomália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температурна аномалія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intermedier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 магматичні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iszapvulkán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гразьові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вулкани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izosztázia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ізостазія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kaldera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кальдера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kémiai mállás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хімічне вивітрювання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kiömlési kőzet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eфузивні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гірські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породи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konglomerátum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конгломерат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kontaktmetamorfózis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kontamináció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онтамінація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kontinentális lejtő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материковий схил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kontinentális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magmatizmus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континентальний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магматизм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konvergens lemezszegély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онвергентні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межі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зіткнення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плит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kötélláva /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хвиляста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лава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ахоехое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kőzetburok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kőzetciklus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перетворення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гірської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породи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kőzetliszt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Krakatau-típusú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Кракатау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kráter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kraton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кратон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kürtő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гирло вулкана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láva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lakkolit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лаколіт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lemeztektonika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літосферних плит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litoszféra lemezek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літосферні плити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longitudinális hullám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повздовжня хвиля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lopolit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лополіт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lösz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magma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Maar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 типу Маар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márga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мергель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meleg iszapvulkánok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теплі грязьові вулкани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mélységi magmás kőzet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гіпабісальні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magmás kőzettan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магматична петрологія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mélytengeri árok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жолоб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batolit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(mélytömzs)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батоліт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metamorfózis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метаморфізм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metamorf kőzettan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метаморфічн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гірських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порід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mikrokontinens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мікроконтинент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mofetta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мофети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neck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neutrális (semleges) kőzetek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ередні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гірські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породи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óceánközépi hátság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cерединно-океанічний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хребет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ofiolitok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офіоліти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orogenezis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орогенез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ősmasszívum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kraton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кратон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petrogenetika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петрогенетика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pajzs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щит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parazita kráter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паразитний (латеральний) кратер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párnaláva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pillow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káva)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кульова лава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лава, ґлобулярна лава,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піллоу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-лава)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Pelée-típusú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 типу Пеле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piroklasztit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пірокластит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plutonizmus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плутонізм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porfíros szövet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порфирова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redő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redőboltozat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антикліналь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redőteknő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синкліналь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redőtengely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вісь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осьова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лінія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складка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rengésfészek (hipocentrum)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гіпоцентр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rétegvulkán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стратовулкан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retrográd metamorfózis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ретроградний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метаморфiзм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rift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рифт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sasbérc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horszt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горст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savanyú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кислі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шельф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Stromboli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Стромболі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szerkezeti árok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тектонічна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западина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szill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сілл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(пластова інтрузія)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szinklinális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сінкліналь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szolfatára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сольфатари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sztratovulkán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стратовулкан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szubdukció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субдукція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szubvulkáni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kőzet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субвулканічна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takaró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окрив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тектонічний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шар'яж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tektonika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тектоніка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tömzs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шток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törmelékes üledék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уламкова 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tufa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туф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ultrabázisos kőzetek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ультраосновні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гірські породи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üledékes kőzet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осадова гірська порода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üledékes kőzettan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осадова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петрграфія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vergencia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вергенція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vető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скид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vetődési magasság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висота скиду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Vezúv-típusú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Везувій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Vulcano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típusú vulkán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вулкани типу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bomba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вулканічна бомба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hamu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вулканічний попіл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por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вулканічний пил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szigetív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вулканічна острівна дуга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vulkáni utóműködés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поствулканічна діяльність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0161E0" w14:textId="6A14F251" w:rsidR="0034285A" w:rsidRPr="00516F26" w:rsidRDefault="003D4B3E" w:rsidP="003D4B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modul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abszolút kor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абсолютний вік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aktualizmus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elve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 актуалізму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Alpi-Európa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Альпійська Європа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Armorikai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Армориканський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орогенез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archeopterix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археоптерикс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diszkordancia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незгодне нашарування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), eróziós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diszkordancia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паралельна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ерозійна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Ediacarai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fauna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Едіакарська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фауна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fácies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keresztrétegzés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перехресна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шаруватість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fosszília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осилі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викопні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рештки</w:t>
            </w:r>
            <w:proofErr w:type="spellEnd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організмів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Gondwana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Гондвана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Hercíniai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Герцинський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орогенез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Japetus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-óceán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Kaledóniai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океан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Япет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Kaledóniai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Каледонський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орогенез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konkordáns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rétegzettség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горизонтальна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шаруватість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kőbél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кам'янілість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Laurázsia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Лавразія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neogén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неоген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paleogén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палеоген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Paleotethys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Палеотетіс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paleoökológia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(őskörnyezettan)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палеоекологія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Paratethys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Паратетіс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Rheic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-óceán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Variszkuszi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Рейський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океан (або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Реїкум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regresszió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регресія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relatív kor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відносний час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rétegtan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стратиграфі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szögdiszkordancia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кутова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települési törvény,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testfosszília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Tethys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Тетіс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transzgresszió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трансгресія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Urey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szint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Юрі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üledékciklus /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осадовий цикл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Variszkuszi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-Európa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Герцинська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Європа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Varisszkuszi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Герцинська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складчастість (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Варисційська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складчастість)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85A" w:rsidRPr="00516F26" w14:paraId="2DD2EE37" w14:textId="77777777">
        <w:tc>
          <w:tcPr>
            <w:tcW w:w="3947" w:type="dxa"/>
            <w:shd w:val="clear" w:color="auto" w:fill="D9D9D9"/>
          </w:tcPr>
          <w:p w14:paraId="245CFB13" w14:textId="77777777" w:rsidR="0034285A" w:rsidRPr="00516F26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14:paraId="1E18BFF3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88A206" w14:textId="77777777" w:rsidR="0034285A" w:rsidRPr="00516F26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55391F55" w14:textId="77777777" w:rsidR="005F2A6A" w:rsidRPr="00516F26" w:rsidRDefault="005F2A6A" w:rsidP="005F2A6A">
            <w:pPr>
              <w:pStyle w:val="Cmsor1"/>
              <w:jc w:val="both"/>
              <w:outlineLvl w:val="0"/>
              <w:rPr>
                <w:sz w:val="24"/>
                <w:szCs w:val="24"/>
              </w:rPr>
            </w:pPr>
            <w:r w:rsidRPr="00516F26">
              <w:rPr>
                <w:sz w:val="24"/>
                <w:szCs w:val="24"/>
              </w:rPr>
              <w:t>Ajánlott szakirodalom:</w:t>
            </w:r>
          </w:p>
          <w:p w14:paraId="0B73E81C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огуцький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Я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цишин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Д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митрук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Т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оменюк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(2018):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історична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Н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авч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альний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посібник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ЛНУ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Івана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Франка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Ліана</w:t>
            </w:r>
            <w:proofErr w:type="spellEnd"/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>-М”.</w:t>
            </w:r>
          </w:p>
          <w:p w14:paraId="789C20AF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Вовк В. М. (2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Геологічний словник. Кіровоград, КОД.</w:t>
            </w:r>
          </w:p>
          <w:p w14:paraId="189EC15A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Székyné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Fux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Vilma (1998):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Kristálytan (Ásványtan I.) Nemzeti Tankönyvkiadó, Budapest.</w:t>
            </w:r>
          </w:p>
          <w:p w14:paraId="1D6C6334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Grasselly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Gyula (1992):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Ásványi nyersanyagok (Ásványtan II.). Kézirat. Tankönyvkiadó, Budapest.</w:t>
            </w:r>
          </w:p>
          <w:p w14:paraId="62267CA2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Pápay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(1998):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Kristályok, ásványok, kőzetek. JATE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Szeged.</w:t>
            </w:r>
          </w:p>
          <w:p w14:paraId="79883C46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Báldi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Tamás (1994):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Elemző (általános) földtan I-II. Kézirat. ELTE TTK, Budapest.</w:t>
            </w:r>
          </w:p>
          <w:p w14:paraId="7A7D3912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Molnár Béla (1984):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 Föld és az élet fejlődése. Nemzeti Tankönyvkiadó, Budapest.</w:t>
            </w:r>
          </w:p>
          <w:p w14:paraId="31035A41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Wallacher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(1993):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Magmás és metamorf kőzetek I-II. Nemzeti Tankönyvkiadó.</w:t>
            </w:r>
          </w:p>
          <w:p w14:paraId="68AA4D0C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Wallacher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(1993):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Üledékes kőzetek és kőzetalkotó ásványok I-II. Nemzeti Tankönyvkiadó.</w:t>
            </w:r>
          </w:p>
          <w:p w14:paraId="685AB29A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Скакун Л. (2002)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Загальна мінералогія. Видавничий центр ЛНУ ім. Івана Франка</w:t>
            </w:r>
          </w:p>
          <w:p w14:paraId="7A82B7B3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Скакун Л. (2002)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Систематична мінералогія.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Оксисолі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галогеніди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Видавничий центр ЛНУ ім. Івана Франка</w:t>
            </w:r>
          </w:p>
          <w:p w14:paraId="03CE549A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Скакун Л. (2003)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Систематична мінералогія. Прості речовини, сульфіди, оксиди. Видавничий центр ЛНУ ім. Івана Франка</w:t>
            </w:r>
          </w:p>
          <w:p w14:paraId="1D90541D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Паранько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 С.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Сіворонов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 О.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Євтєхов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 Д.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(2004):</w:t>
            </w:r>
            <w:r w:rsidRPr="0051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Геологія.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Кривий</w:t>
            </w:r>
            <w:proofErr w:type="spellEnd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Ріг</w:t>
            </w:r>
            <w:proofErr w:type="spellEnd"/>
            <w:r w:rsidRPr="00516F2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F7B0E8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В. Багров – В. О. Боков – 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І. Г.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Черваньов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(2000):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Землезнавство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Либідь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36C3B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Gönczy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(2006):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A földtan alapjai. II. RFKMF, Beregszász, 2006.</w:t>
            </w:r>
          </w:p>
          <w:p w14:paraId="15DBECAD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Gönczy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(2005):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Földtani alapfogalmak.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KMPSzTT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Poliprint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, Ungvár, 2005.</w:t>
            </w:r>
          </w:p>
          <w:p w14:paraId="31136923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Hartai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Éva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(2011): Geológia. </w:t>
            </w:r>
            <w:hyperlink r:id="rId6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http://www.tankonyvtar.hu/hu/tartalom/tamop425/0033_PDF_MFFTT600120/adatok.html</w:t>
              </w:r>
            </w:hyperlink>
          </w:p>
          <w:p w14:paraId="50B537B5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Tóth Erzsébet,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Weiszburg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Tamás (2012):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Környezeti ásványtan. </w:t>
            </w:r>
            <w:hyperlink r:id="rId7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http://www.tankonyvtar.hu/hu/tartalom/tamop425/0047_Weiszburg-Toth_Kornyezeti_asvanytan/adatok.html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70C58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Dávid Árpád (2011):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Ásvány és kőzettan. </w:t>
            </w:r>
            <w:hyperlink r:id="rId8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http://www.tankonyvtar.hu/hu/tartalom/tamop425/0038_foldrajz_asvanyeskotzettanda/adatok.html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173E6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Szakáll Sándor (2011):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Ásvány- és kőzettan alapjai. </w:t>
            </w:r>
            <w:hyperlink r:id="rId9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http://www.tankonyvtar.hu/hu/tartalom/tamop425/0033_PDF_MFFAT6101/adatok.html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7EF8E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Harangi Sz. – Szakmány </w:t>
            </w:r>
            <w:proofErr w:type="spellStart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Gy</w:t>
            </w:r>
            <w:proofErr w:type="spellEnd"/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. – Józsa S. – Lukács R. – Sági T. (2013):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Magmás kőzetek és folyamatok – gyakorlati ismeretek magmás kőzetek vizsgálatához. </w:t>
            </w:r>
            <w:hyperlink r:id="rId10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http://elte.prompt.hu/sites/default/files/tananyagok/MagmasKozetek/index.html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CE12D9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Тихоненко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 Г.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Дегтярьов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В. –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Щуковський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 А.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</w:t>
            </w:r>
            <w:proofErr w:type="spellEnd"/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  <w:r w:rsidRPr="0051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Pr="0051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мінералогії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6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1" w:history="1"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https://learn.ztu.edu.ua/pluginfile.php/10393/mod_resource/content/1/%D0%A2%D0%B8%D1%85%D0</w:t>
              </w:r>
              <w:r w:rsidRPr="00516F2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lastRenderedPageBreak/>
                <w:t>%BE%D0%BD%D0%B5%D0%BD%D0%BA%D0%BE%20%D0%93%D0%95%D0%9E%D0%9B%D0%9E%D0%93%D0%86%D0%AF%20%D0%97%20%D0%9E%D0%A1%D0%9D%D0%9E%D0%92%D0%90%D0%9C%D0%98%20%D0%9C%D0%86%D0%9D%D0%95%D0%A0%D0%90%D0%9B%D0%9E%D0%93%D0%86%D0%87.pdf</w:t>
              </w:r>
            </w:hyperlink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B5D6C4" w14:textId="77777777" w:rsidR="005F2A6A" w:rsidRPr="00516F26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Павлишин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В.І.,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інші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16F26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Генезис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KHT, </w:t>
            </w:r>
            <w:hyperlink r:id="rId12" w:history="1">
              <w:proofErr w:type="spellStart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Kиїв</w:t>
              </w:r>
              <w:proofErr w:type="spellEnd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14:paraId="6EDCA165" w14:textId="06A65C7E" w:rsidR="0034285A" w:rsidRPr="00516F26" w:rsidRDefault="005F2A6A" w:rsidP="005F2A6A">
            <w:pPr>
              <w:numPr>
                <w:ilvl w:val="0"/>
                <w:numId w:val="2"/>
              </w:numPr>
              <w:ind w:left="39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Лукієнко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О.І (2008):</w:t>
            </w:r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Структурна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геологія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516F26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F26">
              <w:rPr>
                <w:rFonts w:ascii="Times New Roman" w:hAnsi="Times New Roman" w:cs="Times New Roman"/>
                <w:sz w:val="24"/>
                <w:szCs w:val="24"/>
              </w:rPr>
              <w:t xml:space="preserve">KHT, </w:t>
            </w:r>
            <w:hyperlink r:id="rId13" w:history="1">
              <w:proofErr w:type="spellStart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Kиїв</w:t>
              </w:r>
              <w:proofErr w:type="spellEnd"/>
              <w:r w:rsidRPr="00516F2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14:paraId="21289B1A" w14:textId="77777777" w:rsidR="0034285A" w:rsidRPr="00516F26" w:rsidRDefault="0034285A">
            <w:pPr>
              <w:ind w:left="394" w:hanging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BB5393" w14:textId="77777777" w:rsidR="00930024" w:rsidRPr="00516F26" w:rsidRDefault="00930024">
      <w:pPr>
        <w:rPr>
          <w:rFonts w:ascii="Times New Roman" w:hAnsi="Times New Roman" w:cs="Times New Roman"/>
          <w:sz w:val="24"/>
          <w:szCs w:val="24"/>
        </w:rPr>
      </w:pPr>
    </w:p>
    <w:p w14:paraId="294D61A7" w14:textId="205537A8" w:rsidR="00930024" w:rsidRDefault="00930024" w:rsidP="009816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F26">
        <w:rPr>
          <w:rFonts w:ascii="Times New Roman" w:hAnsi="Times New Roman" w:cs="Times New Roman"/>
          <w:sz w:val="24"/>
          <w:szCs w:val="24"/>
        </w:rPr>
        <w:t>1. sz. melléklet</w:t>
      </w:r>
    </w:p>
    <w:p w14:paraId="0044DD16" w14:textId="6CE2392E" w:rsidR="009816C8" w:rsidRDefault="009816C8" w:rsidP="0098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0E3D9" w14:textId="47E07066" w:rsidR="009816C8" w:rsidRDefault="009816C8" w:rsidP="009816C8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816C8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A </w:t>
      </w: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GEOLÓGIA</w:t>
      </w:r>
      <w:r w:rsidRPr="009816C8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 </w:t>
      </w:r>
      <w:r w:rsidRPr="009816C8">
        <w:rPr>
          <w:rFonts w:ascii="Times New Roman" w:hAnsi="Times New Roman" w:cs="Times New Roman"/>
          <w:b/>
          <w:sz w:val="28"/>
          <w:szCs w:val="28"/>
          <w:lang w:eastAsia="en-US"/>
        </w:rPr>
        <w:t>tantárgy tematikája</w:t>
      </w:r>
    </w:p>
    <w:p w14:paraId="23C4093B" w14:textId="77777777" w:rsidR="00E7278C" w:rsidRPr="00E7278C" w:rsidRDefault="00E7278C" w:rsidP="00E727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8C">
        <w:rPr>
          <w:rFonts w:ascii="Times New Roman" w:hAnsi="Times New Roman" w:cs="Times New Roman"/>
          <w:b/>
          <w:sz w:val="24"/>
          <w:szCs w:val="24"/>
        </w:rPr>
        <w:t>Tantárgyi tematika</w:t>
      </w:r>
    </w:p>
    <w:p w14:paraId="32A2D1B5" w14:textId="77777777" w:rsidR="00E7278C" w:rsidRPr="00E7278C" w:rsidRDefault="00E7278C" w:rsidP="00E72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78C">
        <w:rPr>
          <w:rFonts w:ascii="Times New Roman" w:hAnsi="Times New Roman" w:cs="Times New Roman"/>
          <w:sz w:val="24"/>
          <w:szCs w:val="24"/>
        </w:rPr>
        <w:t xml:space="preserve">Bevezetés. A geológia, mint tudomány. A Földtudományok köre és kapcsolatai. A geológia tárgya, részei, egymásra épülések, kapcsolódások más tudományokhoz. A Naprendszer felépítése, a bolygók osztályozása. A Naprendszer és a Föld kialakulása és felépítése. A Föld alakja és méretei. Földmodellek. Külső és belső földövek. </w:t>
      </w:r>
    </w:p>
    <w:p w14:paraId="2B53EC37" w14:textId="77777777" w:rsidR="00E7278C" w:rsidRPr="00E7278C" w:rsidRDefault="00E7278C" w:rsidP="00E72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78C">
        <w:rPr>
          <w:rFonts w:ascii="Times New Roman" w:hAnsi="Times New Roman" w:cs="Times New Roman"/>
          <w:sz w:val="24"/>
          <w:szCs w:val="24"/>
        </w:rPr>
        <w:t xml:space="preserve">A kristály fogalma, elemi cellák. A kristályok szimmetriája. Kristályrendszerek és kristályosztályok. Kristályformák. A kristálytan alaptörvényei.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Ikresedés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>. Kristály szerkezettan (kötéstípusok, rácsszerkezetek). Kristályfizika (sűrűség, rugalmasság, hasadás, törés, keménység). Kristályalaktan (morfológiai alapú rendszerezés és határozás).</w:t>
      </w:r>
    </w:p>
    <w:p w14:paraId="4D99BD31" w14:textId="77777777" w:rsidR="00E7278C" w:rsidRPr="00E7278C" w:rsidRDefault="00E7278C" w:rsidP="00E72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78C">
        <w:rPr>
          <w:rFonts w:ascii="Times New Roman" w:hAnsi="Times New Roman" w:cs="Times New Roman"/>
          <w:sz w:val="24"/>
          <w:szCs w:val="24"/>
        </w:rPr>
        <w:t>Az ásvány fogalma. A Földkéreg átlagos kémiai összetétele. Az ásványok rendszere (genetikai és kémiai alapú osztályozás). A magma fogalma, a magmás kristályosodás felosztása. Magmás ásványok. Üledékes ásványok. Metamorf ásványok. Gyakorlati ásványhatározás.</w:t>
      </w:r>
    </w:p>
    <w:p w14:paraId="1DFBD805" w14:textId="77777777" w:rsidR="00E7278C" w:rsidRPr="00E7278C" w:rsidRDefault="00E7278C" w:rsidP="00E72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78C">
        <w:rPr>
          <w:rFonts w:ascii="Times New Roman" w:hAnsi="Times New Roman" w:cs="Times New Roman"/>
          <w:sz w:val="24"/>
          <w:szCs w:val="24"/>
        </w:rPr>
        <w:t xml:space="preserve">Kőzettan. Magmás kőzetek kémiai rendszere, nevezéktana. Magmás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kőztek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 xml:space="preserve"> kihűlési viszonyai, szövete. Fontosabb magmás kőzetek. Az üledékes kőzetek keletkezése. Az üledékes kőzetek rendszerezése. Fontosabb üledékes kőzetek. Fontosabb metamorf kőzetek. Magmaképződési környezetek.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Plutonizmus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Szubvulkáni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 xml:space="preserve"> jelenségek. Vulkanizmus. Vulkáni utóműködés. A metamorfózis típusai. Szerkezeti földtani alapfogalmak.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mezotektonika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 xml:space="preserve">. Lemeztektonika. Kontinensvándorlás és hegységképződés.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Izosztázia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epirogenezis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>. Földrengések.</w:t>
      </w:r>
    </w:p>
    <w:p w14:paraId="7B7663BF" w14:textId="619AFBC6" w:rsidR="009816C8" w:rsidRPr="00516F26" w:rsidRDefault="00E7278C" w:rsidP="00E72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78C">
        <w:rPr>
          <w:rFonts w:ascii="Times New Roman" w:hAnsi="Times New Roman" w:cs="Times New Roman"/>
          <w:sz w:val="24"/>
          <w:szCs w:val="24"/>
        </w:rPr>
        <w:t xml:space="preserve">A rétegződés típusai. Kormeghatározás.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Fosszilizáció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Paleoökológiai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 xml:space="preserve"> alapfogalmak. Az élővilág megjelenése, evolúciós fejlődése, felosztása. Tengeri és szárazföldi élet kialakulásának feltételei. A törzsfejlődés és evolúció. A kronológiailag fontos élőlénycsoportok. A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prekambrium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 xml:space="preserve"> ősföldrajzi viszonyai, éghajlata és élővilága. A paleozoikum ősföldrajzi viszonyai, éghajlata és élővilága. A mezozoikum ősföldrajzi viszonyai, éghajlata és élővilága. A </w:t>
      </w:r>
      <w:proofErr w:type="spellStart"/>
      <w:r w:rsidRPr="00E7278C">
        <w:rPr>
          <w:rFonts w:ascii="Times New Roman" w:hAnsi="Times New Roman" w:cs="Times New Roman"/>
          <w:sz w:val="24"/>
          <w:szCs w:val="24"/>
        </w:rPr>
        <w:t>kainozoikum</w:t>
      </w:r>
      <w:proofErr w:type="spellEnd"/>
      <w:r w:rsidRPr="00E7278C">
        <w:rPr>
          <w:rFonts w:ascii="Times New Roman" w:hAnsi="Times New Roman" w:cs="Times New Roman"/>
          <w:sz w:val="24"/>
          <w:szCs w:val="24"/>
        </w:rPr>
        <w:t xml:space="preserve"> ősföldrajzi viszonyai, éghajlata és élővilága. A földtörténet nagy kihalási szakaszai.</w:t>
      </w:r>
    </w:p>
    <w:p w14:paraId="03D73D88" w14:textId="73604A64" w:rsidR="00930024" w:rsidRPr="00516F26" w:rsidRDefault="00930024" w:rsidP="00DC50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2E32D" w14:textId="5E2BE6D6" w:rsidR="00930024" w:rsidRDefault="00B11F9F" w:rsidP="00B11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melléklet.</w:t>
      </w:r>
    </w:p>
    <w:p w14:paraId="0DBDEB86" w14:textId="77777777" w:rsidR="00B23845" w:rsidRPr="00B23845" w:rsidRDefault="00B23845" w:rsidP="00B23845">
      <w:pPr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B23845">
        <w:rPr>
          <w:rFonts w:ascii="Times New Roman" w:hAnsi="Times New Roman" w:cs="Times New Roman"/>
          <w:b/>
          <w:sz w:val="24"/>
          <w:lang w:eastAsia="en-US"/>
        </w:rPr>
        <w:t>Beszámoltatási rend</w:t>
      </w:r>
    </w:p>
    <w:p w14:paraId="4A0123DC" w14:textId="3CF77E75" w:rsidR="00B23845" w:rsidRPr="00B23845" w:rsidRDefault="00B23845" w:rsidP="00B238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Geológiából</w:t>
      </w:r>
    </w:p>
    <w:p w14:paraId="28C98C66" w14:textId="77777777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</w:p>
    <w:p w14:paraId="571BDC33" w14:textId="75CE396E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B23845">
        <w:rPr>
          <w:rFonts w:ascii="Times New Roman" w:hAnsi="Times New Roman" w:cs="Times New Roman"/>
          <w:sz w:val="24"/>
          <w:lang w:eastAsia="en-US"/>
        </w:rPr>
        <w:t xml:space="preserve">A tárgy kreditértéke: </w:t>
      </w:r>
      <w:r>
        <w:rPr>
          <w:rFonts w:ascii="Times New Roman" w:hAnsi="Times New Roman" w:cs="Times New Roman"/>
          <w:sz w:val="24"/>
          <w:lang w:eastAsia="en-US"/>
        </w:rPr>
        <w:t>5</w:t>
      </w:r>
      <w:r w:rsidRPr="00B23845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Pr="00B23845">
        <w:rPr>
          <w:rFonts w:ascii="Times New Roman" w:hAnsi="Times New Roman" w:cs="Times New Roman"/>
          <w:sz w:val="24"/>
          <w:lang w:eastAsia="en-US"/>
        </w:rPr>
        <w:t>összóraszám</w:t>
      </w:r>
      <w:proofErr w:type="spellEnd"/>
      <w:r w:rsidRPr="00B23845">
        <w:rPr>
          <w:rFonts w:ascii="Times New Roman" w:hAnsi="Times New Roman" w:cs="Times New Roman"/>
          <w:sz w:val="24"/>
          <w:lang w:eastAsia="en-US"/>
        </w:rPr>
        <w:t xml:space="preserve">: </w:t>
      </w:r>
      <w:r w:rsidRPr="00B23845">
        <w:rPr>
          <w:rFonts w:ascii="Times New Roman" w:hAnsi="Times New Roman" w:cs="Times New Roman"/>
          <w:sz w:val="24"/>
          <w:lang w:val="uk-UA" w:eastAsia="en-US"/>
        </w:rPr>
        <w:t>1</w:t>
      </w:r>
      <w:r>
        <w:rPr>
          <w:rFonts w:ascii="Times New Roman" w:hAnsi="Times New Roman" w:cs="Times New Roman"/>
          <w:sz w:val="24"/>
          <w:lang w:eastAsia="en-US"/>
        </w:rPr>
        <w:t>5</w:t>
      </w:r>
      <w:r w:rsidRPr="00B23845">
        <w:rPr>
          <w:rFonts w:ascii="Times New Roman" w:hAnsi="Times New Roman" w:cs="Times New Roman"/>
          <w:sz w:val="24"/>
          <w:lang w:eastAsia="en-US"/>
        </w:rPr>
        <w:t>0.</w:t>
      </w:r>
    </w:p>
    <w:p w14:paraId="62DB84BD" w14:textId="08A7E01B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B23845">
        <w:rPr>
          <w:rFonts w:ascii="Times New Roman" w:hAnsi="Times New Roman" w:cs="Times New Roman"/>
          <w:sz w:val="24"/>
          <w:lang w:eastAsia="en-US"/>
        </w:rPr>
        <w:lastRenderedPageBreak/>
        <w:t xml:space="preserve">Kontaktóraszám: </w:t>
      </w:r>
      <w:r>
        <w:rPr>
          <w:rFonts w:ascii="Times New Roman" w:hAnsi="Times New Roman" w:cs="Times New Roman"/>
          <w:sz w:val="24"/>
          <w:lang w:eastAsia="en-US"/>
        </w:rPr>
        <w:t>30</w:t>
      </w:r>
      <w:r w:rsidRPr="00B23845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B23845">
        <w:rPr>
          <w:rFonts w:ascii="Times New Roman" w:hAnsi="Times New Roman" w:cs="Times New Roman"/>
          <w:sz w:val="24"/>
          <w:lang w:eastAsia="en-US"/>
        </w:rPr>
        <w:t>ea</w:t>
      </w:r>
      <w:proofErr w:type="spellEnd"/>
      <w:r w:rsidRPr="00B23845">
        <w:rPr>
          <w:rFonts w:ascii="Times New Roman" w:hAnsi="Times New Roman" w:cs="Times New Roman"/>
          <w:sz w:val="24"/>
          <w:lang w:eastAsia="en-US"/>
        </w:rPr>
        <w:t xml:space="preserve">. + </w:t>
      </w:r>
      <w:r>
        <w:rPr>
          <w:rFonts w:ascii="Times New Roman" w:hAnsi="Times New Roman" w:cs="Times New Roman"/>
          <w:sz w:val="24"/>
          <w:lang w:eastAsia="en-US"/>
        </w:rPr>
        <w:t>24</w:t>
      </w:r>
      <w:r w:rsidRPr="00B23845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B23845">
        <w:rPr>
          <w:rFonts w:ascii="Times New Roman" w:hAnsi="Times New Roman" w:cs="Times New Roman"/>
          <w:sz w:val="24"/>
          <w:lang w:eastAsia="en-US"/>
        </w:rPr>
        <w:t>gy</w:t>
      </w:r>
      <w:proofErr w:type="spellEnd"/>
      <w:r w:rsidRPr="00B23845">
        <w:rPr>
          <w:rFonts w:ascii="Times New Roman" w:hAnsi="Times New Roman" w:cs="Times New Roman"/>
          <w:sz w:val="24"/>
          <w:lang w:eastAsia="en-US"/>
        </w:rPr>
        <w:t>.</w:t>
      </w:r>
    </w:p>
    <w:p w14:paraId="1A803C4D" w14:textId="2218DCE3" w:rsidR="00B23845" w:rsidRPr="00B23845" w:rsidRDefault="00B23845" w:rsidP="00B23845">
      <w:pPr>
        <w:ind w:firstLine="720"/>
        <w:jc w:val="both"/>
        <w:rPr>
          <w:rFonts w:ascii="Times New Roman" w:hAnsi="Times New Roman" w:cs="Times New Roman"/>
          <w:sz w:val="24"/>
          <w:lang w:eastAsia="en-US"/>
        </w:rPr>
      </w:pPr>
      <w:r w:rsidRPr="00B23845">
        <w:rPr>
          <w:rFonts w:ascii="Times New Roman" w:hAnsi="Times New Roman" w:cs="Times New Roman"/>
          <w:sz w:val="24"/>
          <w:lang w:eastAsia="en-US"/>
        </w:rPr>
        <w:t xml:space="preserve">A tárgy a félév végén </w:t>
      </w:r>
      <w:r>
        <w:rPr>
          <w:rFonts w:ascii="Times New Roman" w:hAnsi="Times New Roman" w:cs="Times New Roman"/>
          <w:sz w:val="24"/>
          <w:lang w:eastAsia="en-US"/>
        </w:rPr>
        <w:t>írásbeli vizsgá</w:t>
      </w:r>
      <w:r w:rsidRPr="00B23845">
        <w:rPr>
          <w:rFonts w:ascii="Times New Roman" w:hAnsi="Times New Roman" w:cs="Times New Roman"/>
          <w:sz w:val="24"/>
          <w:lang w:eastAsia="en-US"/>
        </w:rPr>
        <w:t xml:space="preserve">val zárul. A </w:t>
      </w:r>
      <w:r>
        <w:rPr>
          <w:rFonts w:ascii="Times New Roman" w:hAnsi="Times New Roman" w:cs="Times New Roman"/>
          <w:sz w:val="24"/>
          <w:lang w:eastAsia="en-US"/>
        </w:rPr>
        <w:t>vizsga</w:t>
      </w:r>
      <w:r w:rsidRPr="00B23845">
        <w:rPr>
          <w:rFonts w:ascii="Times New Roman" w:hAnsi="Times New Roman" w:cs="Times New Roman"/>
          <w:sz w:val="24"/>
          <w:lang w:eastAsia="en-US"/>
        </w:rPr>
        <w:t xml:space="preserve">jegy az </w:t>
      </w:r>
      <w:proofErr w:type="spellStart"/>
      <w:r w:rsidRPr="00B23845">
        <w:rPr>
          <w:rFonts w:ascii="Times New Roman" w:hAnsi="Times New Roman" w:cs="Times New Roman"/>
          <w:sz w:val="24"/>
          <w:lang w:eastAsia="en-US"/>
        </w:rPr>
        <w:t>összpontszámnak</w:t>
      </w:r>
      <w:proofErr w:type="spellEnd"/>
      <w:r w:rsidRPr="00B23845">
        <w:rPr>
          <w:rFonts w:ascii="Times New Roman" w:hAnsi="Times New Roman" w:cs="Times New Roman"/>
          <w:sz w:val="24"/>
          <w:lang w:eastAsia="en-US"/>
        </w:rPr>
        <w:t xml:space="preserve"> megfelelően az alábbiak szerint alakul:</w:t>
      </w:r>
    </w:p>
    <w:p w14:paraId="44961031" w14:textId="77777777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</w:p>
    <w:tbl>
      <w:tblPr>
        <w:tblW w:w="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583"/>
        <w:gridCol w:w="1583"/>
      </w:tblGrid>
      <w:tr w:rsidR="00B23845" w:rsidRPr="00B23845" w14:paraId="010B01CC" w14:textId="77777777" w:rsidTr="002977DB">
        <w:trPr>
          <w:trHeight w:val="567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4BF806CF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b/>
                <w:sz w:val="24"/>
                <w:lang w:eastAsia="en-US"/>
              </w:rPr>
              <w:t>ECTS érdemjegy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52A1955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b/>
                <w:sz w:val="24"/>
                <w:lang w:eastAsia="en-US"/>
              </w:rPr>
              <w:t>A 100 pontos skálán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B1A7519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A beszámoló-skálán </w:t>
            </w:r>
          </w:p>
        </w:tc>
      </w:tr>
      <w:tr w:rsidR="00B23845" w:rsidRPr="00B23845" w14:paraId="70BCC3B3" w14:textId="77777777" w:rsidTr="002977DB">
        <w:trPr>
          <w:trHeight w:val="1144"/>
          <w:jc w:val="center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AE0D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1F262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90–100</w:t>
            </w:r>
          </w:p>
        </w:tc>
        <w:tc>
          <w:tcPr>
            <w:tcW w:w="158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C476B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megfelelt</w:t>
            </w:r>
          </w:p>
        </w:tc>
      </w:tr>
      <w:tr w:rsidR="00B23845" w:rsidRPr="00B23845" w14:paraId="6D9C40F7" w14:textId="77777777" w:rsidTr="002977DB">
        <w:trPr>
          <w:trHeight w:val="1144"/>
          <w:jc w:val="center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C9ADF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E25C5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82–89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BB85A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23845" w:rsidRPr="00B23845" w14:paraId="3FBE6052" w14:textId="77777777" w:rsidTr="002977DB">
        <w:trPr>
          <w:trHeight w:val="1144"/>
          <w:jc w:val="center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2FA1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0FC8C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75–81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53E27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23845" w:rsidRPr="00B23845" w14:paraId="55B9C30D" w14:textId="77777777" w:rsidTr="002977DB">
        <w:trPr>
          <w:trHeight w:val="1144"/>
          <w:jc w:val="center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1F0E6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D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3697D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64–74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2DA9E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23845" w:rsidRPr="00B23845" w14:paraId="38EA49D6" w14:textId="77777777" w:rsidTr="002977DB">
        <w:trPr>
          <w:trHeight w:val="567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527CB9E4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E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5F43673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60–63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54D98C5A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B23845" w:rsidRPr="00B23845" w14:paraId="4CE2534D" w14:textId="77777777" w:rsidTr="002977DB">
        <w:trPr>
          <w:trHeight w:val="567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0F1F7B39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Fx</w:t>
            </w:r>
            <w:proofErr w:type="spellEnd"/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br/>
              <w:t>elégtelen, javítható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5C70370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35–59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EDBAF55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nem felelt meg, javítható</w:t>
            </w:r>
          </w:p>
        </w:tc>
      </w:tr>
      <w:tr w:rsidR="00B23845" w:rsidRPr="00B23845" w14:paraId="1C0CF031" w14:textId="77777777" w:rsidTr="002977DB">
        <w:trPr>
          <w:trHeight w:val="567"/>
          <w:jc w:val="center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21A2A1E4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F</w:t>
            </w: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br/>
              <w:t>elégtelen, újra felveendő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14:paraId="77297766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0–34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14:paraId="0CD68084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23845">
              <w:rPr>
                <w:rFonts w:ascii="Times New Roman" w:hAnsi="Times New Roman" w:cs="Times New Roman"/>
                <w:sz w:val="24"/>
                <w:lang w:eastAsia="en-US"/>
              </w:rPr>
              <w:t>nem felelt meg, újra felveendő</w:t>
            </w:r>
          </w:p>
        </w:tc>
      </w:tr>
      <w:tr w:rsidR="00B23845" w:rsidRPr="00B23845" w14:paraId="5298A427" w14:textId="77777777" w:rsidTr="002977DB">
        <w:trPr>
          <w:trHeight w:val="567"/>
          <w:jc w:val="center"/>
        </w:trPr>
        <w:tc>
          <w:tcPr>
            <w:tcW w:w="1582" w:type="dxa"/>
            <w:vMerge/>
            <w:shd w:val="clear" w:color="auto" w:fill="auto"/>
            <w:vAlign w:val="center"/>
          </w:tcPr>
          <w:p w14:paraId="37675008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117620A5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7BCF1655" w14:textId="77777777" w:rsidR="00B23845" w:rsidRPr="00B23845" w:rsidRDefault="00B23845" w:rsidP="00B2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14:paraId="44DE4DF3" w14:textId="77777777" w:rsidR="00B23845" w:rsidRPr="00B23845" w:rsidRDefault="00B23845" w:rsidP="00B23845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</w:p>
    <w:p w14:paraId="38241E26" w14:textId="77777777" w:rsidR="00B11F9F" w:rsidRPr="00516F26" w:rsidRDefault="00B11F9F" w:rsidP="00DC50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1F9F" w:rsidRPr="00516F26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1D8"/>
    <w:multiLevelType w:val="hybridMultilevel"/>
    <w:tmpl w:val="7C6A707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12CA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466B4E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551F"/>
    <w:multiLevelType w:val="hybridMultilevel"/>
    <w:tmpl w:val="3618B74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A06A3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D41913"/>
    <w:multiLevelType w:val="hybridMultilevel"/>
    <w:tmpl w:val="4E6A9B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94BE2"/>
    <w:multiLevelType w:val="hybridMultilevel"/>
    <w:tmpl w:val="1CB49758"/>
    <w:lvl w:ilvl="0" w:tplc="602258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9C6EB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7D652BF"/>
    <w:multiLevelType w:val="hybridMultilevel"/>
    <w:tmpl w:val="4460A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5A"/>
    <w:rsid w:val="000E5864"/>
    <w:rsid w:val="00173AA1"/>
    <w:rsid w:val="00200BAA"/>
    <w:rsid w:val="0034285A"/>
    <w:rsid w:val="003D4B3E"/>
    <w:rsid w:val="004004F2"/>
    <w:rsid w:val="00507174"/>
    <w:rsid w:val="00516F26"/>
    <w:rsid w:val="00543E32"/>
    <w:rsid w:val="005C1200"/>
    <w:rsid w:val="005F2A6A"/>
    <w:rsid w:val="00677EC3"/>
    <w:rsid w:val="00683633"/>
    <w:rsid w:val="006C0B7C"/>
    <w:rsid w:val="0075765B"/>
    <w:rsid w:val="008426E7"/>
    <w:rsid w:val="008729ED"/>
    <w:rsid w:val="008A5CB8"/>
    <w:rsid w:val="00930024"/>
    <w:rsid w:val="009816C8"/>
    <w:rsid w:val="009F6B27"/>
    <w:rsid w:val="00A1369E"/>
    <w:rsid w:val="00B11F9F"/>
    <w:rsid w:val="00B23845"/>
    <w:rsid w:val="00D36968"/>
    <w:rsid w:val="00DC508E"/>
    <w:rsid w:val="00E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743E"/>
  <w15:docId w15:val="{EDC9ABA1-D9BC-4F6E-A7B4-7901F1A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200BAA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200B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00BAA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F2A6A"/>
  </w:style>
  <w:style w:type="character" w:customStyle="1" w:styleId="textcomponent">
    <w:name w:val="textcomponent"/>
    <w:basedOn w:val="Bekezdsalapbettpusa"/>
    <w:rsid w:val="005F2A6A"/>
  </w:style>
  <w:style w:type="character" w:styleId="Kiemels">
    <w:name w:val="Emphasis"/>
    <w:uiPriority w:val="20"/>
    <w:qFormat/>
    <w:rsid w:val="00516F26"/>
    <w:rPr>
      <w:i/>
      <w:i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2384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2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onyvtar.hu/hu/tartalom/tamop425/0038_foldrajz_asvanyeskotzettanda/adatok.html" TargetMode="External"/><Relationship Id="rId13" Type="http://schemas.openxmlformats.org/officeDocument/2006/relationships/hyperlink" Target="http://opac3.brff.monguz.hu/results?p_auth=xTHuO28T&amp;p_p_id=DisplayResult_WAR_akfweb&amp;p_p_lifecycle=1&amp;p_p_state=normal&amp;p_p_mode=view&amp;_DisplayResult_WAR_akfweb_action=searchByAuth&amp;_DisplayResult_WAR_akfweb_type=publishPlace&amp;_DisplayResult_WAR_akfweb_term=K%D0%B8%D1%97%D0%B2.&amp;_DisplayResult_WAR_akfweb_dbid=sol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konyvtar.hu/hu/tartalom/tamop425/0047_Weiszburg-Toth_Kornyezeti_asvanytan/adatok.html" TargetMode="External"/><Relationship Id="rId12" Type="http://schemas.openxmlformats.org/officeDocument/2006/relationships/hyperlink" Target="http://opac3.brff.monguz.hu/results?p_auth=xTHuO28T&amp;p_p_id=DisplayResult_WAR_akfweb&amp;p_p_lifecycle=1&amp;p_p_state=normal&amp;p_p_mode=view&amp;_DisplayResult_WAR_akfweb_action=searchByAuth&amp;_DisplayResult_WAR_akfweb_type=publishPlace&amp;_DisplayResult_WAR_akfweb_term=K%D0%B8%D1%97%D0%B2.&amp;_DisplayResult_WAR_akfweb_dbid=sol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konyvtar.hu/hu/tartalom/tamop425/0033_PDF_MFFTT600120/adatok.html" TargetMode="External"/><Relationship Id="rId11" Type="http://schemas.openxmlformats.org/officeDocument/2006/relationships/hyperlink" Target="https://learn.ztu.edu.ua/pluginfile.php/10393/mod_resource/content/1/%D0%A2%D0%B8%D1%85%D0%BE%D0%BD%D0%B5%D0%BD%D0%BA%D0%BE%20%D0%93%D0%95%D0%9E%D0%9B%D0%9E%D0%93%D0%86%D0%AF%20%D0%97%20%D0%9E%D0%A1%D0%9D%D0%9E%D0%92%D0%90%D0%9C%D0%98%20%D0%9C%D0%86%D0%9D%D0%95%D0%A0%D0%90%D0%9B%D0%9E%D0%93%D0%86%D0%87.pdf" TargetMode="External"/><Relationship Id="rId5" Type="http://schemas.openxmlformats.org/officeDocument/2006/relationships/hyperlink" Target="mailto:gonczy.sandor@kmf.org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lte.prompt.hu/sites/default/files/tananyagok/MagmasKozetek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konyvtar.hu/hu/tartalom/tamop425/0033_PDF_MFFAT6101/adat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2662</Words>
  <Characters>18371</Characters>
  <Application>Microsoft Office Word</Application>
  <DocSecurity>0</DocSecurity>
  <Lines>153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3</cp:revision>
  <dcterms:created xsi:type="dcterms:W3CDTF">2025-09-02T20:26:00Z</dcterms:created>
  <dcterms:modified xsi:type="dcterms:W3CDTF">2025-09-02T20:31:00Z</dcterms:modified>
</cp:coreProperties>
</file>