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Rákóczi Ferenc Kárpátaljai Magyar Főiskola</w:t>
      </w:r>
    </w:p>
    <w:tbl>
      <w:tblPr>
        <w:tblStyle w:val="8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368"/>
        <w:gridCol w:w="1672"/>
        <w:gridCol w:w="1368"/>
        <w:gridCol w:w="1824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81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Képzési szint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alapképzés (bachelor)</w:t>
            </w:r>
          </w:p>
        </w:tc>
        <w:tc>
          <w:tcPr>
            <w:tcW w:w="16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Tagozat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nappali</w:t>
            </w:r>
          </w:p>
        </w:tc>
        <w:tc>
          <w:tcPr>
            <w:tcW w:w="182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Tanév/félév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after="0" w:line="240" w:lineRule="auto"/>
              <w:ind w:left="36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u-H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u-HU"/>
              </w:rPr>
              <w:t>4</w:t>
            </w:r>
          </w:p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Tantárgyleírás</w:t>
      </w:r>
    </w:p>
    <w:tbl>
      <w:tblPr>
        <w:tblStyle w:val="8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6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címe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Vízföldrajz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Tanszék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Földtudományi és Turizmus Tanszék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Képzési program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3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Középiskolai oktatás (Földrajz)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150" w:type="dxa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típusa, kreditértéke, óraszáma (előadás/szeminárium/önálló munka)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Típus (kötelező vagy választható): kötelező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Kreditérték: 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Előadás: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u-H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Szeminárium/gyakorlat:20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Laboratóriumi munka: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Önálló munka: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u-HU"/>
              </w:rPr>
              <w:t>90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Molnár József, PhD, a földrajztudományok kandidátusa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"mailto:molnar.jozsef@kmf.uz.ua"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val="uk-UA"/>
              </w:rPr>
              <w:t>molnar.jozsef@kmf.uz.ua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u-HU"/>
              </w:rPr>
              <w:t>Vass Edina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Földtudományi és Turizmus Tanszék,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u-HU"/>
              </w:rPr>
              <w:t>vass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u-HU"/>
              </w:rPr>
              <w:t>edina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@kmf.org.ua;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előkövetelményei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Általános természeti földrajz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150" w:type="dxa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általános ismertetése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célja,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u-HU"/>
              </w:rPr>
              <w:t xml:space="preserve">feladatai, általános és szakmai kompetenciái,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várható eredményei, főbb témakörei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>
            <w:p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tárgy célja: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 tanulók ismeretének formálása a hidroszféráról, mint földi szféráról, valamint a kapcsolata a föld más burkaival; a hidroszféra fő összetevőinek megismerése, földrajzi sajátosságaik.</w:t>
            </w:r>
          </w:p>
          <w:p>
            <w:p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Feladata: a természetes vizek földrajzi eloszlásának, gazdasági jelentőségének, védelmének és racionális felhasználásának bemutatása.</w:t>
            </w:r>
          </w:p>
          <w:p>
            <w:pPr>
              <w:pStyle w:val="17"/>
              <w:jc w:val="both"/>
              <w:rPr>
                <w:b/>
              </w:rPr>
            </w:pPr>
            <w:r>
              <w:rPr>
                <w:b/>
              </w:rPr>
              <w:t>Integrált kompetencia</w:t>
            </w:r>
          </w:p>
          <w:p>
            <w:pPr>
              <w:pStyle w:val="17"/>
              <w:jc w:val="both"/>
            </w:pPr>
            <w:r>
              <w:t>Speciális feladatok és gyakorlati problémák megoldásának képessége a szakmai tevékenységben vagy a tanulási folyamatban a középfokú oktatás területén, amely magában foglalja a neveléstudományok és a földrajzi tudomány fogalmi módszereinek alkalmazását. Legyen képes alkalmazni a földrajzi tudomány modern vívmányait a középiskolai oktatásban.</w:t>
            </w:r>
          </w:p>
          <w:p>
            <w:pPr>
              <w:spacing w:after="0" w:line="240" w:lineRule="auto"/>
              <w:jc w:val="both"/>
              <w:rPr>
                <w:rStyle w:val="15"/>
                <w:rFonts w:eastAsiaTheme="minorHAnsi"/>
                <w:sz w:val="24"/>
                <w:szCs w:val="24"/>
              </w:rPr>
            </w:pPr>
            <w:r>
              <w:rPr>
                <w:rStyle w:val="15"/>
                <w:rFonts w:eastAsiaTheme="minorHAnsi"/>
                <w:sz w:val="24"/>
                <w:szCs w:val="24"/>
              </w:rPr>
              <w:t>Általános kompetenciák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ЗК1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val="hu-H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Az elvont gondolkodás, analízis, szintézis képessége.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ЗК3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hu-H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Az államnyelven történő kommunikáció képessége mind szóban, mind írásban</w:t>
            </w:r>
          </w:p>
          <w:p>
            <w:pPr>
              <w:spacing w:after="0" w:line="240" w:lineRule="auto"/>
              <w:jc w:val="both"/>
              <w:rPr>
                <w:rStyle w:val="15"/>
                <w:rFonts w:eastAsiaTheme="minorHAnsi"/>
                <w:sz w:val="24"/>
                <w:szCs w:val="24"/>
              </w:rPr>
            </w:pPr>
            <w:r>
              <w:rPr>
                <w:rStyle w:val="15"/>
                <w:rFonts w:eastAsiaTheme="minorHAnsi"/>
                <w:sz w:val="24"/>
                <w:szCs w:val="24"/>
              </w:rPr>
              <w:t>Szakmai kompetenciák</w:t>
            </w:r>
          </w:p>
          <w:p>
            <w:p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ФК2.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hu-H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Az államnyelven történő kommunikáció képessége mind szóban, mind írásban.</w:t>
            </w:r>
          </w:p>
          <w:p>
            <w:pPr>
              <w:pStyle w:val="17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hu-H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ФК3.</w:t>
            </w:r>
            <w:r>
              <w:rPr>
                <w:rFonts w:hint="default" w:eastAsia="SimSun" w:cs="Times New Roman"/>
                <w:b/>
                <w:bCs/>
                <w:color w:val="000000"/>
                <w:kern w:val="0"/>
                <w:sz w:val="24"/>
                <w:szCs w:val="24"/>
                <w:lang w:val="hu-H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A diákok szocializációs folyamatainak, illetve szakmai önkiteljesedésének a pedagógiai kíséretére, a tudatos életútválasztásra való felkészítésükre való készség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hu-HU"/>
              </w:rPr>
              <w:t>.</w:t>
            </w:r>
          </w:p>
          <w:p>
            <w:p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hu-H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ФК4.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hu-H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A megszerzett földrajzi, pszichológiai és pedagógiai ismeretek, módszertani technológiák alkalmazásának készsége a tanulók általános, illetve szaktárgyi kompetenciáinak a fejlesztésében.</w:t>
            </w:r>
          </w:p>
          <w:p>
            <w:p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ФК6.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hu-H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Önállóan és csapatban történő munkavégzés készsége</w:t>
            </w:r>
          </w:p>
          <w:p>
            <w:p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Főbb témakörök: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tartalmi modul: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vízföldrajz, mint tudomány. A világóceán</w:t>
            </w:r>
          </w:p>
          <w:p>
            <w:p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Bevezetés. A vízföldrajz helye a földrajztudományok körében. A vízföldrajz fejlődésének a fő mérföldkövei. Fő feladatai. A víz fő kémiai és fizikai jellemzői. A víz jelentősége a földrajzi burokban.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rforg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szetben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Vízháztartási egyenleg. Vízkészletek.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Világóceán. A világóceán részei. Világóceán. A világóceán részei. A tengerfenék domborzata. A tenger vizének hőmérséklete és sótartalma. A tengervíz mozgása.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Folyók. Tavak. Mocsarak. Szárazföldi jég</w:t>
            </w:r>
          </w:p>
          <w:p>
            <w:p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folyók. A folyók morfometriai jellemzői. Folyórendszerek. A folyók táplálása és vízjárása, földrajzi eloszlásuk. A víz mozgása a folyóban. Tavak. Felszín alatti vizek. Mocsarak. A szárazföldi jég.  </w:t>
            </w:r>
          </w:p>
          <w:p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teljesítésének és értékelésének feltételei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tárgy vizsgávalval zárul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I.modul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Modulzáró dolgozat – 4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névjegyzék – 4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gyakorlati munka – 3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gyakorlati munka – 3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gyakorlati munka – 3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gyakorlati munka – 3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 modul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Modulzáró dolgozat – 4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névjegyzék – 2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névjegyzék – 2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gyakorlati munka – 3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gyakorlati munka – 3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gyakorlati munka – 3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gyakorlati munka – 3 pont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281" w:firstLine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MELLÉKLET: Kérdéssor a vizsgára</w:t>
            </w:r>
          </w:p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281" w:firstLine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MELLÉKLET: Mintateszt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tantárggyal kapcsolatos egyéb tudnivalók, követelmények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alapvető irodalma és digitális segédanyagok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>
            <w:pPr>
              <w:pStyle w:val="10"/>
              <w:numPr>
                <w:ilvl w:val="0"/>
                <w:numId w:val="3"/>
              </w:numPr>
              <w:tabs>
                <w:tab w:val="left" w:pos="360"/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Általános természetföldrajz (szerk. Borsy Z.). Nemzeti Tankönyvkiadó. Budapest, 1998.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60"/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Lovász Gy. (szerk.): Általános vízföldrajz / Загальна гідрологія. University Press Pécs. Pécs, 2000.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60"/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Molnár J., Berghauer S.: Гідрогеографія. Допоміжний посібник для практичних занять. Vízföldrajz. Oktatási segédanyag a gyakorlati foglalkozásokhoz. Rákóczi-füzetek 47. II. Rákóczi Ferenc Kárpátaljai Magyar Főiskola, PoliPrint, 2008.</w:t>
            </w:r>
          </w:p>
          <w:p>
            <w:pPr>
              <w:pStyle w:val="17"/>
              <w:numPr>
                <w:ilvl w:val="0"/>
                <w:numId w:val="3"/>
              </w:numPr>
              <w:tabs>
                <w:tab w:val="left" w:pos="360"/>
                <w:tab w:val="clear" w:pos="720"/>
              </w:tabs>
              <w:ind w:left="0" w:firstLine="284"/>
            </w:pPr>
            <w:r>
              <w:t xml:space="preserve">В. Г. Клименко: </w:t>
            </w:r>
            <w:r>
              <w:rPr>
                <w:lang w:val="uk-UA"/>
              </w:rPr>
              <w:t>З</w:t>
            </w:r>
            <w:r>
              <w:t>агальна гідрологія</w:t>
            </w:r>
            <w:r>
              <w:rPr>
                <w:lang w:val="uk-UA"/>
              </w:rPr>
              <w:t>.</w:t>
            </w:r>
            <w:r>
              <w:t xml:space="preserve"> Навчальний посібник для студентів</w:t>
            </w:r>
            <w:r>
              <w:rPr>
                <w:lang w:val="uk-UA"/>
              </w:rPr>
              <w:t>.</w:t>
            </w:r>
            <w:r>
              <w:t xml:space="preserve"> Харків, ХНУ, 2008</w:t>
            </w:r>
            <w:r>
              <w:rPr>
                <w:lang w:val="uk-UA"/>
              </w:rPr>
              <w:t>.</w:t>
            </w:r>
          </w:p>
          <w:p>
            <w:pPr>
              <w:pStyle w:val="17"/>
              <w:numPr>
                <w:ilvl w:val="0"/>
                <w:numId w:val="3"/>
              </w:numPr>
              <w:tabs>
                <w:tab w:val="left" w:pos="360"/>
                <w:tab w:val="clear" w:pos="720"/>
              </w:tabs>
              <w:ind w:left="0" w:firstLine="284"/>
            </w:pPr>
            <w:r>
              <w:t>В.К. Хільчевського та О.Г. Ободовського</w:t>
            </w:r>
            <w:r>
              <w:rPr>
                <w:lang w:val="uk-UA"/>
              </w:rPr>
              <w:t xml:space="preserve"> (з</w:t>
            </w:r>
            <w:r>
              <w:t>а ред</w:t>
            </w:r>
            <w:r>
              <w:rPr>
                <w:lang w:val="uk-UA"/>
              </w:rPr>
              <w:t>.)</w:t>
            </w:r>
            <w:r>
              <w:t>:</w:t>
            </w:r>
            <w:r>
              <w:rPr>
                <w:lang w:val="uk-UA"/>
              </w:rPr>
              <w:t xml:space="preserve"> З</w:t>
            </w:r>
            <w:r>
              <w:t>агальна гідрологія</w:t>
            </w:r>
            <w:r>
              <w:rPr>
                <w:lang w:val="uk-UA"/>
              </w:rPr>
              <w:t>.</w:t>
            </w:r>
            <w:r>
              <w:t xml:space="preserve"> Підручник</w:t>
            </w:r>
            <w:r>
              <w:rPr>
                <w:lang w:val="uk-UA"/>
              </w:rPr>
              <w:t xml:space="preserve">. </w:t>
            </w:r>
            <w:r>
              <w:t>Видавничо-поліграфічний центр «Київський університет» Київ</w:t>
            </w:r>
            <w:r>
              <w:rPr>
                <w:lang w:val="uk-UA"/>
              </w:rPr>
              <w:t>,</w:t>
            </w:r>
            <w:r>
              <w:t xml:space="preserve"> 2008</w:t>
            </w:r>
            <w:r>
              <w:rPr>
                <w:lang w:val="uk-UA"/>
              </w:rPr>
              <w:t>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60"/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Левківський С. С. та ін.: Загальна гідрологія. Київ: Фітосоціоцентр, 2000.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60"/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Питуляк М. Р., Питуляк М. В.: Практикум із загальної гідрології. Тернопіль: ТДПУ. 2000.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60"/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Jakucs L., Kaszab I.: Hidrogeográfia – hidrogeológia. Szeged, 1995.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60"/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Саратов І. Ю., Іщенко А. В.: Гідрологія. Конспект лекцій. Харківська національна академія міського господарства, Харків, 2009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60"/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Клименко В.Г.: Гідрологія України. Навчальний посібник для студентів-географів. Харківський національний університет імені В.Н. Каразіна. Харків, 2010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60"/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Курганевич Л. П., Біланюк Ю. М, Андрейчук Ю. М.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Загальна гідрологія. Львів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ЛНУ імені Івана Франка, 2020, 336 с.</w:t>
            </w:r>
          </w:p>
          <w:p>
            <w:pPr>
              <w:pStyle w:val="1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HYPERLINK "http://data.worldbank.org"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t>http://data.worldbank.org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"http://www.tankonyvtar.hu/"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val="uk-UA"/>
              </w:rPr>
              <w:t>http://www.tankonyvtar.hu/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"http://meteo.gov.ua/ua/33345/hydrology/hydr_daily_situation/"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t>http://meteo.gov.ua/ua/33345/hydrology/hydr_daily_situation/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"http://www.vituki.hu/"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t>http://www.vituki.hu/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tabs>
                <w:tab w:val="left" w:pos="360"/>
              </w:tabs>
              <w:spacing w:after="0" w:line="240" w:lineRule="auto"/>
              <w:ind w:firstLine="284"/>
            </w:pPr>
            <w:r>
              <w:fldChar w:fldCharType="begin"/>
            </w:r>
            <w:r>
              <w:instrText xml:space="preserve"> HYPERLINK "https://en.unesco.org/themes/water-security/hydrology"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t>https://en.unesco.org/themes/water-security/hydrology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104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15F99"/>
    <w:multiLevelType w:val="multilevel"/>
    <w:tmpl w:val="0A615F9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20930C6"/>
    <w:multiLevelType w:val="multilevel"/>
    <w:tmpl w:val="320930C6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DF08A"/>
    <w:multiLevelType w:val="singleLevel"/>
    <w:tmpl w:val="4C6DF08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2328E"/>
    <w:rsid w:val="00032B36"/>
    <w:rsid w:val="000655F6"/>
    <w:rsid w:val="00071D93"/>
    <w:rsid w:val="000875DE"/>
    <w:rsid w:val="000C0F31"/>
    <w:rsid w:val="000E27FA"/>
    <w:rsid w:val="001425FD"/>
    <w:rsid w:val="001D158C"/>
    <w:rsid w:val="00233B1B"/>
    <w:rsid w:val="00271005"/>
    <w:rsid w:val="0028088A"/>
    <w:rsid w:val="00284160"/>
    <w:rsid w:val="00295510"/>
    <w:rsid w:val="002C09BA"/>
    <w:rsid w:val="002C40AD"/>
    <w:rsid w:val="00341DF0"/>
    <w:rsid w:val="00351D79"/>
    <w:rsid w:val="0039099E"/>
    <w:rsid w:val="00392D23"/>
    <w:rsid w:val="003C4985"/>
    <w:rsid w:val="003F737B"/>
    <w:rsid w:val="00402BCE"/>
    <w:rsid w:val="00423DC3"/>
    <w:rsid w:val="004B7818"/>
    <w:rsid w:val="004D63F1"/>
    <w:rsid w:val="004E2C2F"/>
    <w:rsid w:val="005110D3"/>
    <w:rsid w:val="00514A7B"/>
    <w:rsid w:val="00524525"/>
    <w:rsid w:val="00526D7D"/>
    <w:rsid w:val="005D4828"/>
    <w:rsid w:val="006311E1"/>
    <w:rsid w:val="006618B7"/>
    <w:rsid w:val="006803B6"/>
    <w:rsid w:val="006B58B9"/>
    <w:rsid w:val="006C5D06"/>
    <w:rsid w:val="00705681"/>
    <w:rsid w:val="00771297"/>
    <w:rsid w:val="007915F7"/>
    <w:rsid w:val="007B1F80"/>
    <w:rsid w:val="007E3FBF"/>
    <w:rsid w:val="00816E94"/>
    <w:rsid w:val="00852287"/>
    <w:rsid w:val="008842E1"/>
    <w:rsid w:val="008A059F"/>
    <w:rsid w:val="008A0AFD"/>
    <w:rsid w:val="008F1408"/>
    <w:rsid w:val="00994568"/>
    <w:rsid w:val="00A26453"/>
    <w:rsid w:val="00A434B2"/>
    <w:rsid w:val="00A7537B"/>
    <w:rsid w:val="00B46DB5"/>
    <w:rsid w:val="00B64A4D"/>
    <w:rsid w:val="00BB60A1"/>
    <w:rsid w:val="00C473BA"/>
    <w:rsid w:val="00C82B27"/>
    <w:rsid w:val="00C97B5E"/>
    <w:rsid w:val="00CA7EBC"/>
    <w:rsid w:val="00DA3F3F"/>
    <w:rsid w:val="00E237EC"/>
    <w:rsid w:val="00E3040D"/>
    <w:rsid w:val="00E41F89"/>
    <w:rsid w:val="00E47EA8"/>
    <w:rsid w:val="00E7337D"/>
    <w:rsid w:val="00EB15DB"/>
    <w:rsid w:val="00EB66AC"/>
    <w:rsid w:val="00EE029B"/>
    <w:rsid w:val="00EF36CD"/>
    <w:rsid w:val="00F74340"/>
    <w:rsid w:val="00F7525D"/>
    <w:rsid w:val="00F97CF8"/>
    <w:rsid w:val="00FD3850"/>
    <w:rsid w:val="4AC4660A"/>
    <w:rsid w:val="7EF72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u-H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spacing w:after="0" w:line="240" w:lineRule="auto"/>
      <w:ind w:left="-567" w:right="-285" w:firstLine="567"/>
    </w:pPr>
    <w:rPr>
      <w:rFonts w:ascii="Times New Roman" w:hAnsi="Times New Roman" w:eastAsia="Times New Roman" w:cs="Times New Roman"/>
      <w:sz w:val="24"/>
      <w:szCs w:val="20"/>
      <w:lang w:val="uk-UA" w:eastAsia="hu-HU"/>
    </w:rPr>
  </w:style>
  <w:style w:type="paragraph" w:styleId="5">
    <w:name w:val="Body Text"/>
    <w:basedOn w:val="1"/>
    <w:link w:val="12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/>
    </w:rPr>
  </w:style>
  <w:style w:type="paragraph" w:styleId="6">
    <w:name w:val="Body Text Indent 2"/>
    <w:basedOn w:val="1"/>
    <w:link w:val="9"/>
    <w:qFormat/>
    <w:uiPriority w:val="0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Times New Roman" w:hAnsi="Times New Roman" w:eastAsia="Times New Roman" w:cs="Times New Roman"/>
      <w:sz w:val="24"/>
      <w:szCs w:val="20"/>
      <w:lang w:val="uk-UA" w:eastAsia="hu-HU"/>
    </w:rPr>
  </w:style>
  <w:style w:type="character" w:styleId="7">
    <w:name w:val="Hyperlink"/>
    <w:qFormat/>
    <w:uiPriority w:val="99"/>
    <w:rPr>
      <w:color w:val="0000FF"/>
      <w:u w:val="single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Szövegtörzs behúzással 2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val="uk-UA" w:eastAsia="hu-H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product_list_copyright"/>
    <w:qFormat/>
    <w:uiPriority w:val="0"/>
  </w:style>
  <w:style w:type="character" w:customStyle="1" w:styleId="12">
    <w:name w:val="Szövegtörzs Char"/>
    <w:basedOn w:val="2"/>
    <w:link w:val="5"/>
    <w:qFormat/>
    <w:uiPriority w:val="0"/>
    <w:rPr>
      <w:rFonts w:ascii="Times New Roman" w:hAnsi="Times New Roman" w:eastAsia="Times New Roman" w:cs="Times New Roman"/>
      <w:sz w:val="28"/>
      <w:szCs w:val="24"/>
      <w:lang w:val="ru-RU" w:eastAsia="ru-RU"/>
    </w:rPr>
  </w:style>
  <w:style w:type="character" w:customStyle="1" w:styleId="13">
    <w:name w:val="Основний текст (2)_"/>
    <w:basedOn w:val="2"/>
    <w:link w:val="14"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14">
    <w:name w:val="Основний текст (2)"/>
    <w:basedOn w:val="1"/>
    <w:link w:val="13"/>
    <w:qFormat/>
    <w:uiPriority w:val="0"/>
    <w:pPr>
      <w:widowControl w:val="0"/>
      <w:shd w:val="clear" w:color="auto" w:fill="FFFFFF"/>
      <w:spacing w:after="0" w:line="345" w:lineRule="exact"/>
      <w:ind w:hanging="360"/>
      <w:jc w:val="center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15">
    <w:name w:val="Основний текст (2) + Напівжирний"/>
    <w:basedOn w:val="13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16">
    <w:name w:val="rynqvb"/>
    <w:basedOn w:val="2"/>
    <w:qFormat/>
    <w:uiPriority w:val="0"/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u-HU" w:eastAsia="hu-H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BFFA-60BA-4415-B573-A041E710A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97</Words>
  <Characters>677</Characters>
  <Lines>5</Lines>
  <Paragraphs>1</Paragraphs>
  <TotalTime>0</TotalTime>
  <ScaleCrop>false</ScaleCrop>
  <LinksUpToDate>false</LinksUpToDate>
  <CharactersWithSpaces>773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2023-12-18T19:19:00Z</dcterms:created>
  <dc:creator>tanar</dc:creator>
  <cp:lastModifiedBy>Edina Vass</cp:lastModifiedBy>
  <dcterms:modified xsi:type="dcterms:W3CDTF">2023-12-28T17:59:11Z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968E11882F6F4ED1B42B20B042605B5E_13</vt:lpwstr>
  </property>
</Properties>
</file>